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40" w:before="0" w:lineRule="auto"/>
        <w:rPr/>
      </w:pPr>
      <w:r>
        <w:rPr>
          <w:rFonts w:ascii="Garamond" w:cs="Garamond" w:eastAsia="Garamond" w:hAnsi="Garamond"/>
          <w:b w:val="1"/>
          <w:bCs w:val="1"/>
          <w:color w:val="0b1f3a"/>
          <w:sz w:val="52"/>
          <w:szCs w:val="52"/>
          <w:rtl w:val="0"/>
        </w:rPr>
        <w:t xml:space="preserve">Cameco Corporation</w:t>
      </w:r>
      <w:r>
        <w:rPr>
          <w:rtl w:val="0"/>
        </w:rPr>
      </w:r>
    </w:p>
    <w:p w:rsidR="00000000" w:rsidDel="00000000" w:rsidP="00000000" w:rsidRDefault="00000000" w:rsidRPr="00000000" w14:paraId="00000002">
      <w:pPr>
        <w:pBdr>
          <w:bottom w:color="0b1f3a" w:space="8" w:sz="8" w:val="single"/>
        </w:pBdr>
        <w:tabs>
          <w:tab w:val="right" w:leader="none" w:pos="9026"/>
        </w:tabs>
        <w:spacing w:after="0" w:before="0" w:lineRule="auto"/>
        <w:rPr/>
      </w:pPr>
      <w:r>
        <w:rPr>
          <w:rtl w:val="0"/>
        </w:rPr>
        <w:t xml:space="preserve">Adrian Remigio · Emily Cao · Thu Nguyen · Tyler Hoang · Brian Banh</w:t>
      </w:r>
    </w:p>
    <w:p w:rsidR="00000000" w:rsidDel="00000000" w:rsidP="00000000" w:rsidRDefault="00000000" w:rsidRPr="00000000" w14:paraId="00000003">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INVESTMENT THESIS</w:t>
      </w:r>
      <w:r>
        <w:rPr>
          <w:rtl w:val="0"/>
        </w:rPr>
      </w:r>
    </w:p>
    <w:p w:rsidR="00000000" w:rsidDel="00000000" w:rsidP="00000000" w:rsidRDefault="00000000" w:rsidRPr="00000000" w14:paraId="00000004">
      <w:pPr>
        <w:spacing w:after="180" w:before="0" w:lineRule="auto"/>
        <w:jc w:val="both"/>
        <w:rPr/>
      </w:pPr>
      <w:r>
        <w:rPr>
          <w:rFonts w:ascii="Garamond" w:cs="Garamond" w:eastAsia="Garamond" w:hAnsi="Garamond"/>
          <w:color w:val="111111"/>
          <w:sz w:val="24"/>
          <w:szCs w:val="24"/>
          <w:rtl w:val="0"/>
        </w:rPr>
        <w:t xml:space="preserve">CCJ is a BUY. The setup here is straightforward: Cameco sits at the intersection of a supply market that cannot grow fast enough and a demand base that has barely begun to contract for the uranium it will need. The company controls two of the largest high-grade uranium deposits on earth, both in Saskatchewan, and holds a 49% stake in Westinghouse Electric Company—the only Western manufacturer of large-scale reactor systems with a meaningful order pipeline. None of this is a secret, but the market has not yet fully priced in what happens when utilities—who have collectively left roughly 2.1 billion pounds of uranium unpurchased through 2040—are forced to compete for limited supply from a producer that has no incentive to sell cheap.</w:t>
      </w:r>
      <w:r>
        <w:rPr>
          <w:rtl w:val="0"/>
        </w:rPr>
      </w:r>
    </w:p>
    <w:p w:rsidR="00000000" w:rsidDel="00000000" w:rsidP="00000000" w:rsidRDefault="00000000" w:rsidRPr="00000000" w14:paraId="00000005">
      <w:pPr>
        <w:spacing w:after="180" w:before="0" w:lineRule="auto"/>
        <w:jc w:val="both"/>
        <w:rPr/>
      </w:pPr>
      <w:r>
        <w:rPr>
          <w:rFonts w:ascii="Garamond" w:cs="Garamond" w:eastAsia="Garamond" w:hAnsi="Garamond"/>
          <w:color w:val="111111"/>
          <w:sz w:val="24"/>
          <w:szCs w:val="24"/>
          <w:rtl w:val="0"/>
        </w:rPr>
        <w:t xml:space="preserve">Cameco’s own description of its position, from the FY2025 40-F, puts it plainly: “Our competitive position is based on our controlling ownership of the world’s largest high-grade reserves and low-cost operations, as well as significant investments across the nuclear fuel cycle.” That is not typical corporate boilerplate. McArthur River and Key Lake are genuinely irreplaceable—licensed up to 25 million pounds per year, they milled a world record 20.3 million pounds in 2024. Cigar Lake is the highest-grade operating uranium mine anywhere. No new tier-one mine is funded. Kazakhstan’s Kazatomprom, which alone supplies roughly </w:t>
      </w:r>
      <w:r>
        <w:rPr>
          <w:rtl w:val="0"/>
        </w:rPr>
        <w:t xml:space="preserve">24</w:t>
      </w:r>
      <w:r>
        <w:rPr>
          <w:rFonts w:ascii="Garamond" w:cs="Garamond" w:eastAsia="Garamond" w:hAnsi="Garamond"/>
          <w:color w:val="111111"/>
          <w:sz w:val="24"/>
          <w:szCs w:val="24"/>
          <w:rtl w:val="0"/>
        </w:rPr>
        <w:t xml:space="preserve">% of global primary production, is cutting 2026 output to 71–75 million pounds against a prior plan of around 85 million pounds. Cigar Lake runs out around 2036. The supply picture tightens from here.</w:t>
      </w:r>
      <w:r>
        <w:rPr>
          <w:rtl w:val="0"/>
        </w:rPr>
      </w:r>
    </w:p>
    <w:p w:rsidR="00000000" w:rsidDel="00000000" w:rsidP="00000000" w:rsidRDefault="00000000" w:rsidRPr="00000000" w14:paraId="00000006">
      <w:pPr>
        <w:spacing w:after="180" w:before="0" w:lineRule="auto"/>
        <w:jc w:val="both"/>
        <w:rPr/>
      </w:pPr>
      <w:r>
        <w:rPr>
          <w:rFonts w:ascii="Garamond" w:cs="Garamond" w:eastAsia="Garamond" w:hAnsi="Garamond"/>
          <w:color w:val="111111"/>
          <w:sz w:val="24"/>
          <w:szCs w:val="24"/>
          <w:rtl w:val="0"/>
        </w:rPr>
        <w:t xml:space="preserve">On the demand side, industry term contracting in 2025 came in at 116 million pounds. The replacement rate—what the market needs to incentivize sufficient new mine supply to meet growing reactor demand—is around 160 million pounds a year. Two consecutive years well below that threshold is not a sign of a healthy market; it is deferred inevitability. When utilities do move, the pricing power sits with producers who have maintained discipline. Cameco has. The company has committed only about 25% of its total reserves and resources under long-term contracts, intentionally holding the rest back for higher-priced future contracting. The contract floors currently embedded in the book are around C$70 per pound escalated, with ceilings in the mid-C$130s. As those contracts reprice over the next several years, earnings will follow.</w:t>
      </w:r>
      <w:r>
        <w:rPr>
          <w:rtl w:val="0"/>
        </w:rPr>
      </w:r>
    </w:p>
    <w:p w:rsidR="00000000" w:rsidDel="00000000" w:rsidP="00000000" w:rsidRDefault="00000000" w:rsidRPr="00000000" w14:paraId="00000007">
      <w:pPr>
        <w:spacing w:after="180" w:before="0" w:lineRule="auto"/>
        <w:jc w:val="both"/>
        <w:rPr/>
      </w:pPr>
      <w:r>
        <w:rPr>
          <w:rFonts w:ascii="Garamond" w:cs="Garamond" w:eastAsia="Garamond" w:hAnsi="Garamond"/>
          <w:color w:val="111111"/>
          <w:sz w:val="24"/>
          <w:szCs w:val="24"/>
          <w:rtl w:val="0"/>
        </w:rPr>
        <w:t xml:space="preserve">Westinghouse is the part of this story that uranium-focused investors still tend to underweight. In FY2025, Westinghouse contributed C$780 million in adjusted EBITDA on a 49% share basis—that is 40% of Cameco’s total C$1,929 million. The US Government partnership announced in October 2025, which targets at least 8 to 10 new AP1000 reactors totaling more than US$80 billion in investment, is not in guidance and is not priced in. If even a fraction of that pipeline converts to orders, the earnings impact is material.</w:t>
      </w:r>
      <w:r>
        <w:rPr>
          <w:rtl w:val="0"/>
        </w:rPr>
      </w:r>
    </w:p>
    <w:p w:rsidR="00000000" w:rsidDel="00000000" w:rsidP="00000000" w:rsidRDefault="00000000" w:rsidRPr="00000000" w14:paraId="00000008">
      <w:pPr>
        <w:spacing w:after="180" w:before="0" w:lineRule="auto"/>
        <w:jc w:val="both"/>
        <w:rPr/>
      </w:pPr>
      <w:r>
        <w:rPr>
          <w:rFonts w:ascii="Garamond" w:cs="Garamond" w:eastAsia="Garamond" w:hAnsi="Garamond"/>
          <w:color w:val="111111"/>
          <w:sz w:val="24"/>
          <w:szCs w:val="24"/>
          <w:rtl w:val="0"/>
        </w:rPr>
        <w:t xml:space="preserve">The balance sheet is clean. Operating cash flow hit C$1,408 million in FY2025, the floating-rate term loan from the Westinghouse acquisition has been fully repaid, and the dividend was doubled to C$0.24 per share a year ahead of plan. Management has made the same point consistently for three years: they will not front-run demand with supply. That discipline is value-preserving, even if it occasionally frustrates investors who want production maximized at the wrong point in the cycle.</w:t>
      </w:r>
      <w:r>
        <w:rPr>
          <w:rtl w:val="0"/>
        </w:rPr>
      </w:r>
    </w:p>
    <w:p w:rsidR="00000000" w:rsidDel="00000000" w:rsidP="00000000" w:rsidRDefault="00000000" w:rsidRPr="00000000" w14:paraId="00000009">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BUSINESS MODEL</w:t>
      </w:r>
      <w:r>
        <w:rPr>
          <w:rtl w:val="0"/>
        </w:rPr>
      </w:r>
    </w:p>
    <w:p w:rsidR="00000000" w:rsidDel="00000000" w:rsidP="00000000" w:rsidRDefault="00000000" w:rsidRPr="00000000" w14:paraId="0000000A">
      <w:pPr>
        <w:spacing w:after="180" w:before="0" w:lineRule="auto"/>
        <w:jc w:val="both"/>
        <w:rPr/>
      </w:pPr>
      <w:r>
        <w:rPr>
          <w:rFonts w:ascii="Garamond" w:cs="Garamond" w:eastAsia="Garamond" w:hAnsi="Garamond"/>
          <w:color w:val="111111"/>
          <w:sz w:val="24"/>
          <w:szCs w:val="24"/>
          <w:rtl w:val="0"/>
        </w:rPr>
        <w:t xml:space="preserve">Three segments. The Uranium segment is the core—mining and milling of uranium concentrate at McArthur River/Key Lake and Cigar Lake, supplemented by purchases from JV Inkai in Kazakhstan (40% equity, operated by Kazatomprom) and open-market procurement when needed to cover delivery commitments. Revenue here is straightforwardly volume times realized price, where realized price is defined as uranium concentrate sales revenue plus transportation and storage fees divided by pounds sold.</w:t>
      </w:r>
      <w:r>
        <w:rPr>
          <w:rtl w:val="0"/>
        </w:rPr>
      </w:r>
    </w:p>
    <w:p w:rsidR="00000000" w:rsidDel="00000000" w:rsidP="00000000" w:rsidRDefault="00000000" w:rsidRPr="00000000" w14:paraId="0000000B">
      <w:pPr>
        <w:spacing w:after="180" w:before="0" w:lineRule="auto"/>
        <w:jc w:val="both"/>
        <w:rPr/>
      </w:pPr>
      <w:sdt>
        <w:sdtPr>
          <w:id w:val="-1232033669"/>
          <w:tag w:val="goog_rdk_0"/>
        </w:sdtPr>
        <w:sdtContent>
          <w:r>
            <w:rPr>
              <w:rFonts w:ascii="Caudex" w:cs="Caudex" w:eastAsia="Caudex" w:hAnsi="Caudex"/>
              <w:color w:val="111111"/>
              <w:sz w:val="24"/>
              <w:szCs w:val="24"/>
              <w:rtl w:val="0"/>
            </w:rPr>
            <w:t xml:space="preserve">Fuel Services converts and fabricates. The Blind River refinery in Ontario is the world’s largest commercial uranium refinery; Port Hope converts refined material into uranium hexafluoride, a critical step in preparing uranium for enrichment; and the Cobourg facility makes CANDU fuel assemblies. Port Hope had a record year in 2025— 11.2 million kilograms of uranium in UF₆—and the segment’s average realized price rose 14% to C$43.04 per kilogram as UF₆ conversion term prices moved up roughly 27% during the year. This used to be a thin-margin business that lived in the Uranium segment’s shadow. That has changed.</w:t>
          </w:r>
        </w:sdtContent>
      </w:sdt>
      <w:r>
        <w:rPr>
          <w:rtl w:val="0"/>
        </w:rPr>
      </w:r>
    </w:p>
    <w:p w:rsidR="00000000" w:rsidDel="00000000" w:rsidP="00000000" w:rsidRDefault="00000000" w:rsidRPr="00000000" w14:paraId="0000000C">
      <w:pPr>
        <w:spacing w:after="180" w:before="0" w:lineRule="auto"/>
        <w:jc w:val="both"/>
        <w:rPr/>
      </w:pPr>
      <w:r>
        <w:rPr>
          <w:rFonts w:ascii="Garamond" w:cs="Garamond" w:eastAsia="Garamond" w:hAnsi="Garamond"/>
          <w:color w:val="111111"/>
          <w:sz w:val="24"/>
          <w:szCs w:val="24"/>
          <w:rtl w:val="0"/>
        </w:rPr>
        <w:t xml:space="preserve">Westinghouse is the piece that trips up most models. It is accounted for using the equity method under IFRS, which means Westinghouse’s revenue does not appear in Cameco’s consolidated top line. Only Cameco’s 49% share of Westinghouse’s net earnings flows through, as a single line item called “Share of earnings (loss) from equity-accounted investees.” In FY2025, Westinghouse’s supplemental revenue on a 49% basis was C$3,458 million—almost exactly equal to Cameco’s entire consolidated IFRS revenue of C$3,482 million—yet it showed up on the income statement as one number: C$216 million. Analysts who look only at the top line are missing half the company.</w:t>
      </w:r>
      <w:r>
        <w:rPr>
          <w:rtl w:val="0"/>
        </w:rPr>
      </w:r>
    </w:p>
    <w:p w:rsidR="00000000" w:rsidDel="00000000" w:rsidP="00000000" w:rsidRDefault="00000000" w:rsidRPr="00000000" w14:paraId="0000000D">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FINANCIAL RESULTS — FY2025</w:t>
      </w:r>
      <w:r>
        <w:rPr>
          <w:rtl w:val="0"/>
        </w:rPr>
      </w:r>
    </w:p>
    <w:p w:rsidR="00000000" w:rsidDel="00000000" w:rsidP="00000000" w:rsidRDefault="00000000" w:rsidRPr="00000000" w14:paraId="0000000E">
      <w:pPr>
        <w:spacing w:after="180" w:before="0" w:lineRule="auto"/>
        <w:jc w:val="both"/>
        <w:rPr/>
      </w:pPr>
      <w:r>
        <w:rPr>
          <w:rFonts w:ascii="Garamond" w:cs="Garamond" w:eastAsia="Garamond" w:hAnsi="Garamond"/>
          <w:color w:val="111111"/>
          <w:sz w:val="24"/>
          <w:szCs w:val="24"/>
          <w:rtl w:val="0"/>
        </w:rPr>
        <w:t xml:space="preserve">Consolidated revenue was C$3,482 million, up 11% from C$3,136 million in FY2024. Gross profit came in at C$970 million, a 24% improvement, putting the gross margin at 27.9% versus 25.0% in the prior year. Operating earnings were C$618 million, up 21%, for an operating margin of 17.8%.</w:t>
      </w:r>
      <w:r>
        <w:rPr>
          <w:rtl w:val="0"/>
        </w:rPr>
      </w:r>
    </w:p>
    <w:p w:rsidR="00000000" w:rsidDel="00000000" w:rsidP="00000000" w:rsidRDefault="00000000" w:rsidRPr="00000000" w14:paraId="0000000F">
      <w:pPr>
        <w:spacing w:after="180" w:before="0" w:lineRule="auto"/>
        <w:jc w:val="both"/>
        <w:rPr/>
      </w:pPr>
      <w:r>
        <w:rPr>
          <w:rFonts w:ascii="Garamond" w:cs="Garamond" w:eastAsia="Garamond" w:hAnsi="Garamond"/>
          <w:color w:val="111111"/>
          <w:sz w:val="24"/>
          <w:szCs w:val="24"/>
          <w:rtl w:val="0"/>
        </w:rPr>
        <w:t xml:space="preserve">The income statement item that matters most this year is the swing in equity investee earnings. That line moved from a loss of C$11 million in FY2024 to income of C$216 million in FY2025—a C$227 million improvement. Three things drove it. Westinghouse’s purchase accounting headwind, which had inflated its cost of sales by roughly C$53 million (Cameco’s 49% share) in FY2024 as inventory revalued at acquisition was sold through, is now approximately 90% resolved. The Dukovany advance payment in the Czech Republic—roughly US$170 million flowing through Westinghouse’s income statement—added to the year’s result. And the core Westinghouse services business simply performed better. Net finance, foreign exchange, and derivative costs also fell sharply, from a C$244 million drag in FY2024 to C$59 million in FY2025. The combined effect pushed earnings before tax to C$777 million, up 203%.</w:t>
      </w:r>
      <w:r>
        <w:rPr>
          <w:rtl w:val="0"/>
        </w:rPr>
      </w:r>
    </w:p>
    <w:p w:rsidR="00000000" w:rsidDel="00000000" w:rsidP="00000000" w:rsidRDefault="00000000" w:rsidRPr="00000000" w14:paraId="00000010">
      <w:pPr>
        <w:spacing w:after="180" w:before="0" w:lineRule="auto"/>
        <w:jc w:val="both"/>
        <w:rPr/>
      </w:pPr>
      <w:r>
        <w:rPr>
          <w:rFonts w:ascii="Garamond" w:cs="Garamond" w:eastAsia="Garamond" w:hAnsi="Garamond"/>
          <w:color w:val="111111"/>
          <w:sz w:val="24"/>
          <w:szCs w:val="24"/>
          <w:rtl w:val="0"/>
        </w:rPr>
        <w:t xml:space="preserve">Net earnings attributable to equity holders were C$590 million, or C$1.35 per basic share, against C$172 million and C$0.40 in FY2024. Adjusted net earnings—which strip out derivatives, unrealized foreign exchange, share-based compensation, and the equity investee equivalents of those items—were C$627 million, or C$1.44 per diluted share, up from C$292 million and C$0.67. Adjusted EBITDA was C$1,929 million, up 26% from C$1,531 million.</w:t>
      </w:r>
      <w:r>
        <w:rPr>
          <w:rtl w:val="0"/>
        </w:rPr>
      </w:r>
    </w:p>
    <w:p w:rsidR="00000000" w:rsidDel="00000000" w:rsidP="00000000" w:rsidRDefault="00000000" w:rsidRPr="00000000" w14:paraId="00000011">
      <w:pPr>
        <w:spacing w:after="180" w:before="0" w:lineRule="auto"/>
        <w:jc w:val="both"/>
        <w:rPr/>
      </w:pPr>
      <w:r>
        <w:rPr>
          <w:rFonts w:ascii="Garamond" w:cs="Garamond" w:eastAsia="Garamond" w:hAnsi="Garamond"/>
          <w:color w:val="111111"/>
          <w:sz w:val="24"/>
          <w:szCs w:val="24"/>
          <w:rtl w:val="0"/>
        </w:rPr>
        <w:t xml:space="preserve">By segment: Uranium contributed C$2,874 million in revenue (up 7%), gross profit of C$803 million (margin 27.9%, +250bps), and adjusted EBITDA of C$1,255 million. The average realized uranium price was US$62.11 per pound, or C$87.00 per pound, up 9% in Canadian dollar terms. Sales volume was 33.0 million pounds. Capital expenditures in the segment were C$268 million, covering sustaining capital at McArthur River, Cigar Lake, and Key Lake plus the ongoing freeze development work in Zone 4.</w:t>
      </w:r>
      <w:r>
        <w:rPr>
          <w:rtl w:val="0"/>
        </w:rPr>
      </w:r>
    </w:p>
    <w:p w:rsidR="00000000" w:rsidDel="00000000" w:rsidP="00000000" w:rsidRDefault="00000000" w:rsidRPr="00000000" w14:paraId="00000012">
      <w:pPr>
        <w:spacing w:after="180" w:before="0" w:lineRule="auto"/>
        <w:jc w:val="both"/>
        <w:rPr/>
      </w:pPr>
      <w:sdt>
        <w:sdtPr>
          <w:id w:val="484307856"/>
          <w:tag w:val="goog_rdk_1"/>
        </w:sdtPr>
        <w:sdtContent>
          <w:r>
            <w:rPr>
              <w:rFonts w:ascii="Caudex" w:cs="Caudex" w:eastAsia="Caudex" w:hAnsi="Caudex"/>
              <w:color w:val="111111"/>
              <w:sz w:val="24"/>
              <w:szCs w:val="24"/>
              <w:rtl w:val="0"/>
            </w:rPr>
            <w:t xml:space="preserve">Fuel Services had a better year than it gets credit for. Revenue rose 23% to C$562 million, gross profit expanded to C$174 million—a 780 basis point margin improvement to 30.9%—and adjusted EBITDA grew 51% to C$219 million. Capex was C$57 million. The segment holds approximately 83 million kilograms of uranium under long-term UF₆ conversion commitments, providing multi-year revenue visibility at repriced market rates.</w:t>
          </w:r>
        </w:sdtContent>
      </w:sdt>
      <w:r>
        <w:rPr>
          <w:rtl w:val="0"/>
        </w:rPr>
      </w:r>
    </w:p>
    <w:p w:rsidR="00000000" w:rsidDel="00000000" w:rsidP="00000000" w:rsidRDefault="00000000" w:rsidRPr="00000000" w14:paraId="00000013">
      <w:pPr>
        <w:spacing w:after="180" w:before="0" w:lineRule="auto"/>
        <w:jc w:val="both"/>
        <w:rPr/>
      </w:pPr>
      <w:r>
        <w:rPr>
          <w:rFonts w:ascii="Garamond" w:cs="Garamond" w:eastAsia="Garamond" w:hAnsi="Garamond"/>
          <w:color w:val="111111"/>
          <w:sz w:val="24"/>
          <w:szCs w:val="24"/>
          <w:rtl w:val="0"/>
        </w:rPr>
        <w:t xml:space="preserve">Westinghouse reported adjusted EBITDA of C$780 million (49% share), up 61% from C$483 million. Net earnings from the segment were C$58 million, compared to a C$218 million net loss in FY2024—that reversal is entirely purchase accounting noise clearing, not a deterioration of underlying performance. Cash distributions to Cameco were US$220.5 million: US$49 million in February and US$171.5 million in October, the latter tied to the Dukovany advance payment. A further US$49 million was received in January 2026. Westinghouse’s 2026 adjusted EBITDA guidance is US$370–430 million (49% share, in US dollars)—lower than FY2025 because the Dukovany item does not repeat, not because the business is deteriorating.</w:t>
      </w:r>
      <w:r>
        <w:rPr>
          <w:rtl w:val="0"/>
        </w:rPr>
      </w:r>
    </w:p>
    <w:p w:rsidR="00000000" w:rsidDel="00000000" w:rsidP="00000000" w:rsidRDefault="00000000" w:rsidRPr="00000000" w14:paraId="00000014">
      <w:pPr>
        <w:spacing w:after="180" w:before="0" w:lineRule="auto"/>
        <w:jc w:val="both"/>
        <w:rPr/>
      </w:pPr>
      <w:r>
        <w:rPr>
          <w:rFonts w:ascii="Garamond" w:cs="Garamond" w:eastAsia="Garamond" w:hAnsi="Garamond"/>
          <w:color w:val="111111"/>
          <w:sz w:val="24"/>
          <w:szCs w:val="24"/>
          <w:rtl w:val="0"/>
        </w:rPr>
        <w:t xml:space="preserve">Cash from operations was C$1,408 million, up 56% from C$905 million. That figure includes C$447 million of dividends received from equity-accounted investees—the line item under IFRS equity accounting where Westinghouse distributions and the US$87 million JV Inkai dividend are captured. Consolidated capital expenditures were C$333 million. Westinghouse’s own capex (US$120–150 million, 49% share) does not run through this line because Westinghouse is equity-accounted. Implied free cash flow, taking operations less consolidated capex, was approximately C$1,075 million.</w:t>
      </w:r>
      <w:r>
        <w:rPr>
          <w:rtl w:val="0"/>
        </w:rPr>
      </w:r>
    </w:p>
    <w:p w:rsidR="00000000" w:rsidDel="00000000" w:rsidP="00000000" w:rsidRDefault="00000000" w:rsidRPr="00000000" w14:paraId="00000015">
      <w:pPr>
        <w:spacing w:after="180" w:before="0" w:lineRule="auto"/>
        <w:jc w:val="both"/>
        <w:rPr/>
      </w:pPr>
      <w:r>
        <w:rPr>
          <w:rFonts w:ascii="Garamond" w:cs="Garamond" w:eastAsia="Garamond" w:hAnsi="Garamond"/>
          <w:color w:val="111111"/>
          <w:sz w:val="24"/>
          <w:szCs w:val="24"/>
          <w:rtl w:val="0"/>
        </w:rPr>
        <w:t xml:space="preserve">The balance sheet is in the strongest shape it has been since the Westinghouse acquisition. Cash and short-term investments at December 31, 2025 were C$1,215 million against C$996 million of long-term debt (fixed-rate senior notes due 2031). Net cash was approximately C$218 million. The floating-rate term loan, which had been a drag since the acquisition closed, was fully repaid during the year.</w:t>
      </w:r>
      <w:r>
        <w:rPr>
          <w:rtl w:val="0"/>
        </w:rPr>
      </w:r>
    </w:p>
    <w:p w:rsidR="00000000" w:rsidDel="00000000" w:rsidP="00000000" w:rsidRDefault="00000000" w:rsidRPr="00000000" w14:paraId="00000016">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NON-IFRS MEASURES</w:t>
      </w:r>
      <w:r>
        <w:rPr>
          <w:rtl w:val="0"/>
        </w:rPr>
      </w:r>
    </w:p>
    <w:p w:rsidR="00000000" w:rsidDel="00000000" w:rsidP="00000000" w:rsidRDefault="00000000" w:rsidRPr="00000000" w14:paraId="00000017">
      <w:pPr>
        <w:spacing w:after="180" w:before="0" w:lineRule="auto"/>
        <w:jc w:val="both"/>
        <w:rPr/>
      </w:pPr>
      <w:r>
        <w:rPr>
          <w:rFonts w:ascii="Garamond" w:cs="Garamond" w:eastAsia="Garamond" w:hAnsi="Garamond"/>
          <w:color w:val="111111"/>
          <w:sz w:val="24"/>
          <w:szCs w:val="24"/>
          <w:rtl w:val="0"/>
        </w:rPr>
        <w:t xml:space="preserve">Cameco defines adjusted net earnings as net earnings attributable to equity holders, adjusted to remove items the company considers non-operating or non-cash: gains and losses on derivatives, unrealized foreign exchange movements, share-based compensation, reclamation provision adjustments flowing through other operating expenses, and the equity investee equivalents of all of the above. In FY2025, the bridge from IFRS net earnings of C$590 million to adjusted net earnings of C$627 million ran as follows: the C$144 million derivative gain was reversed out; C$54 million of unrealized foreign exchange losses were added back; C$79 million of share-based compensation was added back; an C$8 million equity investee inventory purchase accounting charge was added back; and these were partially offset by a C$22 million recovery of other operating expense adjustments and a C$22 million tax cost on the adjustments. The definition was revised in FY2024 to include unrealized foreign exchange and share-based compensation as exclusions, with comparatives restated.</w:t>
      </w:r>
      <w:r>
        <w:rPr>
          <w:rtl w:val="0"/>
        </w:rPr>
      </w:r>
    </w:p>
    <w:p w:rsidR="00000000" w:rsidDel="00000000" w:rsidP="00000000" w:rsidRDefault="00000000" w:rsidRPr="00000000" w14:paraId="00000018">
      <w:pPr>
        <w:spacing w:after="180" w:before="0" w:lineRule="auto"/>
        <w:jc w:val="both"/>
        <w:rPr/>
      </w:pPr>
      <w:r>
        <w:rPr>
          <w:rFonts w:ascii="Garamond" w:cs="Garamond" w:eastAsia="Garamond" w:hAnsi="Garamond"/>
          <w:color w:val="111111"/>
          <w:sz w:val="24"/>
          <w:szCs w:val="24"/>
          <w:rtl w:val="0"/>
        </w:rPr>
        <w:t xml:space="preserve">Adjusted EBITDA builds from there. The company first calculates EBITDA in the standard way—net earnings plus depreciation and amortization, finance costs, and income taxes, less finance income—and then applies the same non-cash and non-recurring adjustments as above. Crucially, it also adds back the equity investees’ own depreciation, finance costs, and income taxes, bringing Westinghouse’s contribution up to an EBITDA-equivalent rather than a net earnings equivalent. That is why Westinghouse shows C$780 million at the adjusted EBITDA line when its net earnings contribution is only C$58 million. The C$1,929 million total breaks into C$1,255 million from Uranium, C$219 million from Fuel Services, C$780 million from Westinghouse, and a C$325 million corporate cost. One number worth keeping in mind: the apparent adjusted EBITDA margin calculated against consolidated IFRS revenue looks like 55%, but that is an artifact of Westinghouse’s EBITDA being included while its revenue is excluded. On a combined basis, the blended margin is closer to 28%.</w:t>
      </w:r>
      <w:r>
        <w:rPr>
          <w:rtl w:val="0"/>
        </w:rPr>
      </w:r>
    </w:p>
    <w:p w:rsidR="00000000" w:rsidDel="00000000" w:rsidP="00000000" w:rsidRDefault="00000000" w:rsidRPr="00000000" w14:paraId="00000019">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OPERATIONAL KPIS</w:t>
      </w:r>
      <w:r>
        <w:rPr>
          <w:rtl w:val="0"/>
        </w:rPr>
      </w:r>
    </w:p>
    <w:p w:rsidR="00000000" w:rsidDel="00000000" w:rsidP="00000000" w:rsidRDefault="00000000" w:rsidRPr="00000000" w14:paraId="0000001A">
      <w:pPr>
        <w:spacing w:after="180" w:before="0" w:lineRule="auto"/>
        <w:jc w:val="both"/>
        <w:rPr/>
      </w:pPr>
      <w:r>
        <w:rPr>
          <w:rFonts w:ascii="Garamond" w:cs="Garamond" w:eastAsia="Garamond" w:hAnsi="Garamond"/>
          <w:color w:val="111111"/>
          <w:sz w:val="24"/>
          <w:szCs w:val="24"/>
          <w:rtl w:val="0"/>
        </w:rPr>
        <w:t xml:space="preserve">Cameco produced 21.0 million pounds of uranium on a consolidated share basis in FY2025, down from 23.4 million pounds in FY2024. The decline is essentially all McArthur River. That asset produced only 15.1 million pounds on a 100% basis in 2025, against a record 20.3 million pounds in 2024 and a design rate of 18 million pounds per year under its current operating plan. The company announced the shortfall in August 2025, attributing it to slower-than-expected ground freezing in Zone 1 and development complications in the Zone 4 clay area. The 2026 guidance implies output of roughly 14 million pounds at the asset, and an extended Key Lake mill maintenance shutdown will compound the constraint. Three consecutive years of production guidance revisions at the flagship asset is a real issue. Management frames it partly as deliberate pacing—they genuinely have no incentive to over-produce into a market where utilities aren’t contracting at replacement rate—and partly as a technical challenge. Both things can be true.</w:t>
      </w:r>
      <w:r>
        <w:rPr>
          <w:rtl w:val="0"/>
        </w:rPr>
      </w:r>
    </w:p>
    <w:p w:rsidR="00000000" w:rsidDel="00000000" w:rsidP="00000000" w:rsidRDefault="00000000" w:rsidRPr="00000000" w14:paraId="0000001B">
      <w:pPr>
        <w:spacing w:after="180" w:before="0" w:lineRule="auto"/>
        <w:jc w:val="both"/>
        <w:rPr/>
      </w:pPr>
      <w:r>
        <w:rPr>
          <w:rFonts w:ascii="Garamond" w:cs="Garamond" w:eastAsia="Garamond" w:hAnsi="Garamond"/>
          <w:color w:val="111111"/>
          <w:sz w:val="24"/>
          <w:szCs w:val="24"/>
          <w:rtl w:val="0"/>
        </w:rPr>
        <w:t xml:space="preserve">Cigar Lake, at least, is working. The mine produced 19.1 million pounds on a 100% basis in 2025, 1.1 million pounds ahead of its annual plan. JV Inkai recovered from the January 2025 regulatory halt (production stopped on the 1st, resumed on the 23rd after a surprise compliance issue) to deliver 8.4 million pounds for the year on a 100% basis. Cameco received 4.6 million pounds of that, including 0.9 million pounds of 2024 production that crossed into Kazakhstan’s export system late. The 2026 plan has Inkai running at full capacity— 10.4 million pounds (100% basis)—with Cameco purchasing 4.2 million pounds, a significant step-up.</w:t>
      </w:r>
      <w:r>
        <w:rPr>
          <w:rtl w:val="0"/>
        </w:rPr>
      </w:r>
    </w:p>
    <w:p w:rsidR="00000000" w:rsidDel="00000000" w:rsidP="00000000" w:rsidRDefault="00000000" w:rsidRPr="00000000" w14:paraId="0000001C">
      <w:pPr>
        <w:spacing w:after="180" w:before="0" w:lineRule="auto"/>
        <w:jc w:val="both"/>
        <w:rPr/>
      </w:pPr>
      <w:r>
        <w:rPr>
          <w:rFonts w:ascii="Garamond" w:cs="Garamond" w:eastAsia="Garamond" w:hAnsi="Garamond"/>
          <w:color w:val="111111"/>
          <w:sz w:val="24"/>
          <w:szCs w:val="24"/>
          <w:rtl w:val="0"/>
        </w:rPr>
        <w:t xml:space="preserve">The average realized uranium price was US$62.11 per pound (C$87.00) in FY2025, up 9% in Canadian dollar terms from C$79.70 in FY2024. Sales volume was 33.0 million pounds, essentially flat with the prior year, supported by 9.6 million pounds of market and committed purchases that filled the gap left by lower McArthur River production. Year-end inventory stood at 9.7 million pounds at an average cost of C$61.85 per pound. The 2026 delivery guidance of 29–32 million pounds against a realized price target of C$85–89 per pound implies a meaningful improvement in per-pound economics relative to 2025.</w:t>
      </w:r>
      <w:r>
        <w:rPr>
          <w:rtl w:val="0"/>
        </w:rPr>
      </w:r>
    </w:p>
    <w:p w:rsidR="00000000" w:rsidDel="00000000" w:rsidP="00000000" w:rsidRDefault="00000000" w:rsidRPr="00000000" w14:paraId="0000001D">
      <w:pPr>
        <w:spacing w:after="180" w:before="0" w:lineRule="auto"/>
        <w:jc w:val="both"/>
        <w:rPr/>
      </w:pPr>
      <w:r>
        <w:rPr>
          <w:rFonts w:ascii="Garamond" w:cs="Garamond" w:eastAsia="Garamond" w:hAnsi="Garamond"/>
          <w:color w:val="111111"/>
          <w:sz w:val="24"/>
          <w:szCs w:val="24"/>
          <w:rtl w:val="0"/>
        </w:rPr>
        <w:t xml:space="preserve">The contract book sits at approximately 230 million pounds under long-term commitment, with average annual delivery obligations of about 28 million pounds over the next five years. Commitments run heavier in 2025–2027 and lighter in 2028–2029, leaving those later years more exposed to spot market pricing—which is intentional. About 25% of reserves and resources are committed; the rest is held for future contracting. Grant Isaac said it directly on the Q4 2025 call: “We simply are not prepared to satisfy that demand at today’s economics which do not support sustainable supply. History tells us that real price discovery occurs when contracting levels reach or exceed replacement rates.”</w:t>
      </w:r>
      <w:r>
        <w:rPr>
          <w:rtl w:val="0"/>
        </w:rPr>
      </w:r>
    </w:p>
    <w:p w:rsidR="00000000" w:rsidDel="00000000" w:rsidP="00000000" w:rsidRDefault="00000000" w:rsidRPr="00000000" w14:paraId="0000001E">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INVESTMENT CATALYSTS</w:t>
      </w:r>
      <w:r>
        <w:rPr>
          <w:rtl w:val="0"/>
        </w:rPr>
      </w:r>
    </w:p>
    <w:p w:rsidR="00000000" w:rsidDel="00000000" w:rsidP="00000000" w:rsidRDefault="00000000" w:rsidRPr="00000000" w14:paraId="0000001F">
      <w:pPr>
        <w:spacing w:after="180" w:before="0" w:lineRule="auto"/>
        <w:jc w:val="both"/>
        <w:rPr/>
      </w:pPr>
      <w:r>
        <w:rPr>
          <w:rFonts w:ascii="Garamond" w:cs="Garamond" w:eastAsia="Garamond" w:hAnsi="Garamond"/>
          <w:color w:val="111111"/>
          <w:sz w:val="24"/>
          <w:szCs w:val="24"/>
          <w:rtl w:val="0"/>
        </w:rPr>
        <w:t xml:space="preserve">The re-contracting cycle is the central catalyst, and it has not happened yet. In 2025, the nuclear industry placed 116 million pounds under long-term contracts. In 2024, it was 120 million pounds. Neither year came close to the approximately 160 million pounds the market needs to incentivize enough new primary supply to cover growing reactor demand. Utilities are running down inventory and secondary supply to fill the gap, but those buffers are finite. As the uncovered requirement compounds—roughly 2.1 billion pounds unpurchased through 2040—the urgency of procurement will eventually force a contracting cycle. When that happens, the pricing is set by the marginal supplier, not by Cameco. Cameco just collects the result under a contract structure that currently has floors around C$70 per pound and ceilings in the mid-C$130s. The long-term uranium price hit US$86.50 per pound in December 2025, the highest since 2012.</w:t>
      </w:r>
      <w:r>
        <w:rPr>
          <w:rtl w:val="0"/>
        </w:rPr>
      </w:r>
    </w:p>
    <w:p w:rsidR="00000000" w:rsidDel="00000000" w:rsidP="00000000" w:rsidRDefault="00000000" w:rsidRPr="00000000" w14:paraId="00000020">
      <w:pPr>
        <w:spacing w:after="180" w:before="0" w:lineRule="auto"/>
        <w:jc w:val="both"/>
        <w:rPr/>
      </w:pPr>
      <w:r>
        <w:rPr>
          <w:rFonts w:ascii="Garamond" w:cs="Garamond" w:eastAsia="Garamond" w:hAnsi="Garamond"/>
          <w:color w:val="111111"/>
          <w:sz w:val="24"/>
          <w:szCs w:val="24"/>
          <w:rtl w:val="0"/>
        </w:rPr>
        <w:t xml:space="preserve">The nuclear build pipeline has not been this robust in decades. The IAEA counts 436 operable reactors and 66 under construction as of early 2026. Thirty-three countries signed on to the COP30 pledge to triple nuclear capacity by 2050. Palisades in Michigan became the first US reactor to restart from decommissioning. Kashiwazaki-Kariwa Unit 6 came back online in Japan in February 2026. Poland is in advanced engineering on six AP1000 reactors. The Czech Republic has contracted for two AP1000s at Dukovany. Microsoft, Google, Meta, and Amazon have all signed nuclear power agreements of one kind or another, signaling that demand for always-on carbon-free power is moving beyond utilities.</w:t>
      </w:r>
      <w:r>
        <w:rPr>
          <w:rtl w:val="0"/>
        </w:rPr>
      </w:r>
    </w:p>
    <w:p w:rsidR="00000000" w:rsidDel="00000000" w:rsidP="00000000" w:rsidRDefault="00000000" w:rsidRPr="00000000" w14:paraId="00000021">
      <w:pPr>
        <w:spacing w:after="180" w:before="0" w:lineRule="auto"/>
        <w:jc w:val="both"/>
        <w:rPr/>
      </w:pPr>
      <w:r>
        <w:rPr>
          <w:rFonts w:ascii="Garamond" w:cs="Garamond" w:eastAsia="Garamond" w:hAnsi="Garamond"/>
          <w:color w:val="111111"/>
          <w:sz w:val="24"/>
          <w:szCs w:val="24"/>
          <w:rtl w:val="0"/>
        </w:rPr>
        <w:t xml:space="preserve">For Westinghouse specifically, the October 2025 US Government partnership is the biggest single optionality item in the story. The arrangement targets 8 to 10 new AP1000 reactors in the United States with more than US$80 billion in investment. The government arranges financing and permitting; Westinghouse builds. Once US$17.5 billion in investment has vested, the government gets a 20% cut of cash distributions above that threshold. Management’s framework: roughly US$400–600 million in adjusted EBITDA per reactor through engineering and procurement, or US$800 million to US$1.2 billion per two-reactor project. None of this is in guidance. No definitive agreement was signed as of the Q4 2025 earnings call, at which point Gitzel was on a plane to Washington for ongoing discussions. The uncertainty is real, but the size of the prize is also real.</w:t>
      </w:r>
      <w:r>
        <w:rPr>
          <w:rtl w:val="0"/>
        </w:rPr>
      </w:r>
    </w:p>
    <w:p w:rsidR="00000000" w:rsidDel="00000000" w:rsidP="00000000" w:rsidRDefault="00000000" w:rsidRPr="00000000" w14:paraId="00000022">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KEY RISKS</w:t>
      </w:r>
      <w:r>
        <w:rPr>
          <w:rtl w:val="0"/>
        </w:rPr>
      </w:r>
    </w:p>
    <w:p w:rsidR="00000000" w:rsidDel="00000000" w:rsidP="00000000" w:rsidRDefault="00000000" w:rsidRPr="00000000" w14:paraId="00000023">
      <w:pPr>
        <w:spacing w:after="180" w:before="0" w:lineRule="auto"/>
        <w:jc w:val="both"/>
        <w:rPr/>
      </w:pPr>
      <w:r>
        <w:rPr>
          <w:rFonts w:ascii="Garamond" w:cs="Garamond" w:eastAsia="Garamond" w:hAnsi="Garamond"/>
          <w:color w:val="111111"/>
          <w:sz w:val="24"/>
          <w:szCs w:val="24"/>
          <w:rtl w:val="0"/>
        </w:rPr>
        <w:t xml:space="preserve">McArthur River is the most pressing operational risk. It produced 15.1 million pounds in 2025 against a record 20.3 million in 2024, and the 2026 guidance implies roughly 14 million pounds given the extended Key Lake maintenance shutdown. That is three years of consecutive guidance compression at the company’s most important asset. The Zone 4 clay development work is genuinely difficult, and there is no clear timeline for when the asset returns to its design rate of 18 million pounds. The earnings sensitivity is meaningful: each C$5 per pound change in the realized uranium price, applied to roughly 30 million pounds of annual deliveries, moves gross profit by approximately C$150 million. A production shortfall that requires heavier open-market purchasing at elevated spot prices hits the same line from the other direction.</w:t>
      </w:r>
      <w:r>
        <w:rPr>
          <w:rtl w:val="0"/>
        </w:rPr>
      </w:r>
    </w:p>
    <w:p w:rsidR="00000000" w:rsidDel="00000000" w:rsidP="00000000" w:rsidRDefault="00000000" w:rsidRPr="00000000" w14:paraId="00000024">
      <w:pPr>
        <w:spacing w:after="180" w:before="0" w:lineRule="auto"/>
        <w:jc w:val="both"/>
        <w:rPr/>
      </w:pPr>
      <w:r>
        <w:rPr>
          <w:rFonts w:ascii="Garamond" w:cs="Garamond" w:eastAsia="Garamond" w:hAnsi="Garamond"/>
          <w:color w:val="111111"/>
          <w:sz w:val="24"/>
          <w:szCs w:val="24"/>
          <w:rtl w:val="0"/>
        </w:rPr>
        <w:t xml:space="preserve">Uranium spot price volatility is structural rather than incidental. The market averaged US$73.54 per pound in FY2025 but moved substantially within the year. A sustained retreat toward US$65 per pound or below would compress contract floor negotiations and reduce the participation benefit in market-related contracts. JV Inkai and the Kazakhstan exposure deserve more attention than they typically receive. The January 2025 production halt—with no warning—was a reminder that operating in Kazakhstan carries a different risk profile than Saskatchewan. Sulfuric acid supply has been a chronic problem. Kazakhstan also introduced a new Mineral Extraction Tax that adds to the cost structure. The JV lease runs to 2045, which provides long-term access but not certainty.</w:t>
      </w:r>
      <w:r>
        <w:rPr>
          <w:rtl w:val="0"/>
        </w:rPr>
      </w:r>
    </w:p>
    <w:p w:rsidR="00000000" w:rsidDel="00000000" w:rsidP="00000000" w:rsidRDefault="00000000" w:rsidRPr="00000000" w14:paraId="00000025">
      <w:pPr>
        <w:spacing w:after="180" w:before="0" w:lineRule="auto"/>
        <w:jc w:val="both"/>
        <w:rPr/>
      </w:pPr>
      <w:r>
        <w:rPr>
          <w:rFonts w:ascii="Garamond" w:cs="Garamond" w:eastAsia="Garamond" w:hAnsi="Garamond"/>
          <w:color w:val="111111"/>
          <w:sz w:val="24"/>
          <w:szCs w:val="24"/>
          <w:rtl w:val="0"/>
        </w:rPr>
        <w:t xml:space="preserve">The Westinghouse US partnership may not happen, or may happen much more slowly than the October 2025 term sheet implied. It depends on Congressional appropriations, consistent executive branch enforcement across potential changes in administration, Japanese foreign direct investment, and site selection—none of which is within Westinghouse’s or Cameco’s control. Importantly, if the partnership does not progress, it is not a guidance miss, because it is not in guidance. But the stock has likely priced in some probability of success, so a clean failure would have a real impact. The Canada Revenue Agency transfer pricing dispute for 2018 forward also remains unresolved, though the courts sided with Cameco in every case covering the years 2008 through 2017. Currency is a minor but persistent drag: Cameco earns in US dollars and reports in Canadian dollars, so CAD appreciation reduces reported revenues without changing the underlying economics.</w:t>
      </w:r>
      <w:r>
        <w:rPr>
          <w:rtl w:val="0"/>
        </w:rPr>
      </w:r>
    </w:p>
    <w:p w:rsidR="00000000" w:rsidDel="00000000" w:rsidP="00000000" w:rsidRDefault="00000000" w:rsidRPr="00000000" w14:paraId="00000026">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WHAT CHANGED: Q4 2024 VS. Q4 2025</w:t>
      </w:r>
      <w:r>
        <w:rPr>
          <w:rtl w:val="0"/>
        </w:rPr>
      </w:r>
    </w:p>
    <w:p w:rsidR="00000000" w:rsidDel="00000000" w:rsidP="00000000" w:rsidRDefault="00000000" w:rsidRPr="00000000" w14:paraId="00000027">
      <w:pPr>
        <w:spacing w:after="180" w:before="0" w:lineRule="auto"/>
        <w:jc w:val="both"/>
        <w:rPr/>
      </w:pPr>
      <w:r>
        <w:rPr>
          <w:rFonts w:ascii="Garamond" w:cs="Garamond" w:eastAsia="Garamond" w:hAnsi="Garamond"/>
          <w:color w:val="111111"/>
          <w:sz w:val="24"/>
          <w:szCs w:val="24"/>
          <w:rtl w:val="0"/>
        </w:rPr>
        <w:t xml:space="preserve">The Q4 2024 call in February 2025 opened with a sense of cautious momentum. McArthur River had just finished a record year. JV Inkai had just halted production without warning. Westinghouse had posted a C$218 million net loss for 2024, almost entirely purchase accounting, which management spent considerable time explaining. The tariff situation on Canadian uranium was live and worrying. And Westinghouse had just made its first-ever distribution to owners—US$49 million—which was noteworthy precisely because it had never happened before.</w:t>
      </w:r>
      <w:r>
        <w:rPr>
          <w:rtl w:val="0"/>
        </w:rPr>
      </w:r>
    </w:p>
    <w:p w:rsidR="00000000" w:rsidDel="00000000" w:rsidP="00000000" w:rsidRDefault="00000000" w:rsidRPr="00000000" w14:paraId="00000028">
      <w:pPr>
        <w:spacing w:after="180" w:before="0" w:lineRule="auto"/>
        <w:jc w:val="both"/>
        <w:rPr/>
      </w:pPr>
      <w:sdt>
        <w:sdtPr>
          <w:id w:val="-654229236"/>
          <w:tag w:val="goog_rdk_2"/>
        </w:sdtPr>
        <w:sdtContent>
          <w:r>
            <w:rPr>
              <w:rFonts w:ascii="Caudex" w:cs="Caudex" w:eastAsia="Caudex" w:hAnsi="Caudex"/>
              <w:color w:val="111111"/>
              <w:sz w:val="24"/>
              <w:szCs w:val="24"/>
              <w:rtl w:val="0"/>
            </w:rPr>
            <w:t xml:space="preserve">By the Q4 2025 call in February 2026, several of those situations had resolved in Cameco’s favor and a few new complications had emerged. On the positive side: Westinghouse’s earnings swung from a C$218 million loss to C$58 million of income as purchase accounting cleared; distributions totaled US$220.5 million for the year (the Dukovany advance alone was US$171.5 million); the US Government partnership was signed in October 2025; and the tariff risk dissolved when uranium and UF₆ were confirmed exempt under CUSMA and a September executive order. The dividend doubled to C$0.24 per share, ahead of plan. JV Inkai, after the January halt, recovered and delivered 8.4 million pounds for the year.</w:t>
          </w:r>
        </w:sdtContent>
      </w:sdt>
      <w:r>
        <w:rPr>
          <w:rtl w:val="0"/>
        </w:rPr>
      </w:r>
    </w:p>
    <w:p w:rsidR="00000000" w:rsidDel="00000000" w:rsidP="00000000" w:rsidRDefault="00000000" w:rsidRPr="00000000" w14:paraId="00000029">
      <w:pPr>
        <w:spacing w:after="180" w:before="0" w:lineRule="auto"/>
        <w:jc w:val="both"/>
        <w:rPr/>
      </w:pPr>
      <w:r>
        <w:rPr>
          <w:rFonts w:ascii="Garamond" w:cs="Garamond" w:eastAsia="Garamond" w:hAnsi="Garamond"/>
          <w:color w:val="111111"/>
          <w:sz w:val="24"/>
          <w:szCs w:val="24"/>
          <w:rtl w:val="0"/>
        </w:rPr>
        <w:t xml:space="preserve">On the other side, McArthur River did not perform as guided. The 18 million pound target for 2025 became 15.1 million pounds, and the 2026 plan dropped further to roughly 14 million pounds. Management eliminated its five-year CAGR guidance range for Westinghouse—which had been 6 to 10% through the Q4 2024 call—and replaced it with annual-only guidance plus the per-reactor framework for new build contributions. The rationale is sound (new build EBITDA is genuinely lumpy), but removing a multi-year anchor for the fastest-growing segment creates some forecasting complexity. The management team itself changed: Grant Isaac moved from CFO to President and COO, with Heidi Shockey stepping in as CFO. These are the substantive differences between where the company was twelve months ago and where it is now.</w:t>
      </w:r>
      <w:r>
        <w:rPr>
          <w:rtl w:val="0"/>
        </w:rPr>
      </w:r>
    </w:p>
    <w:p w:rsidR="00000000" w:rsidDel="00000000" w:rsidP="00000000" w:rsidRDefault="00000000" w:rsidRPr="00000000" w14:paraId="0000002A">
      <w:pPr>
        <w:pBdr>
          <w:bottom w:color="bbbbbb" w:space="4" w:sz="4" w:val="single"/>
        </w:pBdr>
        <w:spacing w:after="140" w:before="400" w:lineRule="auto"/>
        <w:rPr>
          <w:b w:val="1"/>
          <w:bCs w:val="1"/>
          <w:color w:val="0b1f3a"/>
          <w:sz w:val="22"/>
          <w:szCs w:val="22"/>
        </w:rPr>
      </w:pPr>
      <w:r>
        <w:rPr>
          <w:rtl w:val="0"/>
        </w:rPr>
      </w:r>
    </w:p>
    <w:p w:rsidR="00000000" w:rsidDel="00000000" w:rsidP="00000000" w:rsidRDefault="00000000" w:rsidRPr="00000000" w14:paraId="0000002B">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VALUATION</w:t>
      </w:r>
      <w:r>
        <w:rPr>
          <w:rtl w:val="0"/>
        </w:rPr>
      </w:r>
    </w:p>
    <w:p w:rsidR="00000000" w:rsidDel="00000000" w:rsidP="00000000" w:rsidRDefault="00000000" w:rsidRPr="00000000" w14:paraId="0000002C">
      <w:pPr>
        <w:spacing w:after="180" w:before="0" w:lineRule="auto"/>
        <w:jc w:val="both"/>
        <w:rPr/>
      </w:pPr>
      <w:r>
        <w:rPr>
          <w:rFonts w:ascii="Garamond" w:cs="Garamond" w:eastAsia="Garamond" w:hAnsi="Garamond"/>
          <w:color w:val="111111"/>
          <w:sz w:val="24"/>
          <w:szCs w:val="24"/>
          <w:rtl w:val="0"/>
        </w:rPr>
        <w:t xml:space="preserve">At US$104.49 per share as of June 28, 2026, CCJ trades at a trailing price-to-earnings multiple of about 106 times on IFRS EPS of C$1.35. That number is not analytically useful. IFRS earnings at Cameco in any given year are heavily influenced by non-cash derivative mark-to-market adjustments and unrealized foreign exchange movements that have nothing to do with the underlying business. The cleaner figure, adjusted EPS of C$1.44, produces a trailing P/E of around 100 times (the comps model shows ~97 times on a trailing-twelve-month basis)—still high, but the relevant question is where earnings are going, not where they’ve been.</w:t>
      </w:r>
      <w:r>
        <w:rPr>
          <w:rtl w:val="0"/>
        </w:rPr>
      </w:r>
    </w:p>
    <w:p w:rsidR="00000000" w:rsidDel="00000000" w:rsidP="00000000" w:rsidRDefault="00000000" w:rsidRPr="00000000" w14:paraId="0000002D">
      <w:pPr>
        <w:spacing w:after="180" w:before="0" w:lineRule="auto"/>
        <w:jc w:val="both"/>
        <w:rPr/>
      </w:pPr>
      <w:r>
        <w:rPr>
          <w:rFonts w:ascii="Garamond" w:cs="Garamond" w:eastAsia="Garamond" w:hAnsi="Garamond"/>
          <w:color w:val="111111"/>
          <w:sz w:val="24"/>
          <w:szCs w:val="24"/>
          <w:rtl w:val="0"/>
        </w:rPr>
        <w:t xml:space="preserve">The better metric is EV to adjusted EBITDA. With a market cap of approximately US$45.4 billion and net cash of C$218 million, the enterprise value is roughly US$45.4 billion. Against FY2025 adjusted EBITDA of C$1,929 million (approximately US$1.41 billion), the trailing multiple is about 32 times. Note this is on Cameco’s own company-defined Adjusted EBITDA, which includes the 49% Westinghouse look-through; on a peer-comparable LTM basis (unadjusted operating EBITDA, the same basis used for the peer set in the comps model), CCJ’s multiple is closer to 71 times, reflecting the fact that Westinghouse’s equity-method earnings don’t show up in consolidated revenue or standard EBITDA. Either way it is a premium valuation, and it is warranted by the scarcity of the assets and the cycle positioning. P/NAV—price to net asset value, calculated by discounting the in-ground resource at some long-run uranium price assumption—is technically the most appropriate metric for a uranium mining company, but Cameco does not disclose it and it requires a full separate model. Historically, Cameco has traded between 1.2 and 2.4 times NAV through different parts of the uranium cycle.</w:t>
      </w:r>
      <w:r>
        <w:rPr>
          <w:rtl w:val="0"/>
        </w:rPr>
      </w:r>
    </w:p>
    <w:p w:rsidR="00000000" w:rsidDel="00000000" w:rsidP="00000000" w:rsidRDefault="00000000" w:rsidRPr="00000000" w14:paraId="0000002E">
      <w:pPr>
        <w:spacing w:after="180" w:before="0" w:lineRule="auto"/>
        <w:jc w:val="both"/>
        <w:rPr/>
      </w:pPr>
      <w:r>
        <w:rPr>
          <w:rFonts w:ascii="Garamond" w:cs="Garamond" w:eastAsia="Garamond" w:hAnsi="Garamond"/>
          <w:color w:val="111111"/>
          <w:sz w:val="24"/>
          <w:szCs w:val="24"/>
          <w:rtl w:val="0"/>
        </w:rPr>
        <w:t xml:space="preserve">The scenario framework here is built around forward adjusted EBITDA rather than current results, because the current results reflect neither the full earnings power of the contract book at current market prices nor any contribution from Westinghouse’s new build pipeline. In the base case, forward adjusted EBITDA of around C$2,100 million— reflecting 2026 guidance executed as stated, with uranium realized prices at the mid-point of C$85–89 per pound and Westinghouse core contributing around US$400 million (49% share) with no new build revenue— produces an implied share price of roughly US$113 at a 32 times multiple, modestly above current trading. The bull case requires forward EBITDA of C$2,600 million, which needs realized uranium prices above C$95 per pound (possible as the contracting cycle matures) and at least one Westinghouse new build order in 2026. At 36 times, that gets to roughly US$157, or about 50% upside. The bear case assumes the uranium price retreats below US$65 per pound, McArthur River does not recover, and Westinghouse’s US partnership stalls. C$1,600 million of EBITDA at 28 times implies US$75, a 28% decline.</w:t>
      </w:r>
    </w:p>
    <w:p>
      <w:pPr>
        <w:spacing w:before="240" w:after="240"/>
      </w:pPr>
      <w:r>
        <w:t xml:space="preserve">A separate discounted cash flow build (consolidated FCF only—Westinghouse is equity-accounted and excluded from FCF) is far more conservative than the multiple-based framework above, because it doesn’t capture Westinghouse’s equity value or any multiple expansion. At a 9.79% WACC and 3.0% terminal growth, the base case DCF implies roughly US$19 per share; the bear case (10.5% WACC, 2.0% terminal growth) implies roughly US$9; the bull case (9.0% WACC, 4.0% terminal growth) implies roughly US$39. All three sit well below the current US$104.49 price, which is the expected result for a sum-of-the-parts business where roughly 40% of adjusted EBITDA comes from an equity-accounted stake that a consolidated-FCF DCF structurally cannot capture. The DCF should be read as a floor on the uranium-and-fuel-services business alone, not as a price target for the whole company.</w:t>
      </w:r>
      <w:r>
        <w:rPr>
          <w:rtl w:val="0"/>
        </w:rPr>
      </w:r>
    </w:p>
    <w:p w:rsidR="00000000" w:rsidDel="00000000" w:rsidP="00000000" w:rsidRDefault="00000000" w:rsidRPr="00000000" w14:paraId="0000002F">
      <w:pPr>
        <w:spacing w:after="180" w:before="0" w:lineRule="auto"/>
        <w:jc w:val="both"/>
        <w:rPr/>
      </w:pPr>
      <w:r>
        <w:rPr>
          <w:rFonts w:ascii="Garamond" w:cs="Garamond" w:eastAsia="Garamond" w:hAnsi="Garamond"/>
          <w:color w:val="111111"/>
          <w:sz w:val="24"/>
          <w:szCs w:val="24"/>
          <w:rtl w:val="0"/>
        </w:rPr>
        <w:t xml:space="preserve">The uranium price sensitivity is worth keeping in mind through the cycle. Each C$5 per pound change in average realized uranium price, applied to roughly 30 million pounds of annual deliveries, moves gross profit by approximately C$150 million. Given the fixed cost base at the mines, the vast majority of that flows to EBITDA. The contract book reprices continuously as long-dated contracts roll off and new contracts are added at current market rates. The direction of travel is upward; the pace is uncertain.</w:t>
      </w:r>
      <w:r>
        <w:rPr>
          <w:rtl w:val="0"/>
        </w:rPr>
      </w:r>
    </w:p>
    <w:p w:rsidR="00000000" w:rsidDel="00000000" w:rsidP="00000000" w:rsidRDefault="00000000" w:rsidRPr="00000000" w14:paraId="00000030">
      <w:pPr>
        <w:pBdr>
          <w:bottom w:color="bbbbbb" w:space="4" w:sz="4" w:val="single"/>
        </w:pBdr>
        <w:spacing w:after="140" w:before="400" w:lineRule="auto"/>
        <w:rPr/>
      </w:pPr>
      <w:r>
        <w:rPr>
          <w:rFonts w:ascii="Garamond" w:cs="Garamond" w:eastAsia="Garamond" w:hAnsi="Garamond"/>
          <w:b w:val="1"/>
          <w:bCs w:val="1"/>
          <w:color w:val="0b1f3a"/>
          <w:sz w:val="22"/>
          <w:szCs w:val="22"/>
          <w:rtl w:val="0"/>
        </w:rPr>
        <w:t xml:space="preserve">CONCLUSION</w:t>
      </w:r>
      <w:r>
        <w:rPr>
          <w:rtl w:val="0"/>
        </w:rPr>
      </w:r>
    </w:p>
    <w:p w:rsidR="00000000" w:rsidDel="00000000" w:rsidP="00000000" w:rsidRDefault="00000000" w:rsidRPr="00000000" w14:paraId="00000031">
      <w:pPr>
        <w:spacing w:after="180" w:before="0" w:lineRule="auto"/>
        <w:jc w:val="both"/>
        <w:rPr/>
      </w:pPr>
      <w:r>
        <w:rPr>
          <w:rFonts w:ascii="Garamond" w:cs="Garamond" w:eastAsia="Garamond" w:hAnsi="Garamond"/>
          <w:color w:val="111111"/>
          <w:sz w:val="24"/>
          <w:szCs w:val="24"/>
          <w:rtl w:val="0"/>
        </w:rPr>
        <w:t xml:space="preserve">The bull case here is not complicated. Cameco owns assets that cannot be replicated, in a commodity that cannot be substituted, serving a customer base that is structurally under-contracted. The company has spent the last three years demonstrating that it will not sell its future cheap to fill near-term production targets or chase short-term earnings. That discipline has a cost—McArthur River running below design capacity is partly a reflection of it—but it has also preserved the majority of the company’s reserve base for contracting at prices that reflect the actual cost of new supply. Westinghouse, meanwhile, has gone from a loss-generating investment burdened by acquisition accounting to a C$780 million EBITDA contributor with a US government partner and a credible AP1000 pipeline. The stock is not cheap on trailing numbers. It is reasonably priced against the earnings trajectory, and it is significantly undervalued if the re-contracting cycle reaches replacement rate and Westinghouse executes on even a portion of its new build potential.</w:t>
      </w:r>
      <w:r>
        <w:rPr>
          <w:rtl w:val="0"/>
        </w:rPr>
      </w:r>
    </w:p>
    <w:p w:rsidR="00000000" w:rsidDel="00000000" w:rsidP="00000000" w:rsidRDefault="00000000" w:rsidRPr="00000000" w14:paraId="00000032">
      <w:pPr>
        <w:spacing w:after="180" w:before="0" w:lineRule="auto"/>
        <w:jc w:val="both"/>
        <w:rPr/>
      </w:pPr>
      <w:r>
        <w:rPr>
          <w:rFonts w:ascii="Garamond" w:cs="Garamond" w:eastAsia="Garamond" w:hAnsi="Garamond"/>
          <w:color w:val="111111"/>
          <w:sz w:val="24"/>
          <w:szCs w:val="24"/>
          <w:rtl w:val="0"/>
        </w:rPr>
        <w:t xml:space="preserve">Watch four things: quarterly industry term contracting volumes relative to the 160 million pound replacement rate; McArthur River production updates as the Zone 4 clay development work progresses; the Westinghouse US Government partnership for any movement toward a definitive agreement and long-lead item orders; and the quarterly realized uranium price against the C$85–89 per pound guidance. Any positive development in the first three would be a meaningful catalyst. A realized price above C$90 per pound for two consecutive quarters would start to force the earnings model higher in ways that justify multiple expansion.</w:t>
      </w:r>
      <w:r>
        <w:rPr>
          <w:rtl w:val="0"/>
        </w:rPr>
      </w:r>
    </w:p>
    <w:sectPr>
      <w:headerReference r:id="rId7" w:type="default"/>
      <w:footerReference r:id="rId8" w:type="default"/>
      <w:pgSz w:h="15840" w:w="12240" w:orient="portrait"/>
      <w:pgMar w:bottom="1260" w:top="126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Bdr>
        <w:top w:color="bbbbbb" w:space="4" w:sz="4" w:val="single"/>
      </w:pBdr>
      <w:spacing w:after="0" w:before="6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Bdr>
        <w:bottom w:color="bbbbbb" w:space="4" w:sz="4" w:val="single"/>
      </w:pBdr>
      <w:tabs>
        <w:tab w:val="right" w:leader="none" w:pos="9026"/>
      </w:tabs>
      <w:spacing w:after="80" w:before="0" w:lineRule="auto"/>
      <w:rPr/>
    </w:pPr>
    <w:r w:rsidDel="00000000" w:rsidR="00000000" w:rsidRPr="00000000">
      <w:rPr>
        <w:rFonts w:ascii="Garamond" w:cs="Garamond" w:eastAsia="Garamond" w:hAnsi="Garamond"/>
        <w:color w:val="555555"/>
        <w:sz w:val="18"/>
        <w:szCs w:val="18"/>
        <w:rtl w:val="0"/>
      </w:rPr>
      <w:t xml:space="preserve">EQUITY RESEARCH  ·  FINANCE 670</w:t>
    </w:r>
    <w:r w:rsidDel="00000000" w:rsidR="00000000" w:rsidRPr="00000000">
      <w:rPr>
        <w:color w:val="555555"/>
        <w:sz w:val="18"/>
        <w:szCs w:val="18"/>
        <w:rtl w:val="0"/>
      </w:rPr>
      <w:t xml:space="preserve">  ·  </w:t>
    </w:r>
    <w:r w:rsidDel="00000000" w:rsidR="00000000" w:rsidRPr="00000000">
      <w:rPr>
        <w:rFonts w:ascii="Garamond" w:cs="Garamond" w:eastAsia="Garamond" w:hAnsi="Garamond"/>
        <w:color w:val="555555"/>
        <w:sz w:val="18"/>
        <w:szCs w:val="18"/>
        <w:rtl w:val="0"/>
      </w:rPr>
      <w:t xml:space="preserve">Cameco Corporation  ·  NYSE: CCJ</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color w:val="111111"/>
        <w:sz w:val="24"/>
        <w:szCs w:val="24"/>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aramond" w:cs="Garamond" w:eastAsia="Garamond" w:hAnsi="Garamond"/>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aramond" w:cs="Garamond" w:eastAsia="Garamond" w:hAnsi="Garamond"/>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aramond" w:cs="Garamond" w:eastAsia="Garamond" w:hAnsi="Garamond"/>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aramond" w:cs="Garamond" w:eastAsia="Garamond" w:hAnsi="Garamond"/>
      <w:b w:val="0"/>
      <w:bCs w:val="0"/>
      <w:i w:val="1"/>
      <w:iCs w:val="1"/>
      <w:smallCaps w:val="0"/>
      <w:strike w:val="0"/>
      <w:color w:val="2e74b5"/>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aramond" w:cs="Garamond" w:eastAsia="Garamond" w:hAnsi="Garamond"/>
      <w:b w:val="0"/>
      <w:bCs w:val="0"/>
      <w:i w:val="0"/>
      <w:iCs w:val="0"/>
      <w:smallCaps w:val="0"/>
      <w:strike w:val="0"/>
      <w:color w:val="2e74b5"/>
      <w:sz w:val="24"/>
      <w:szCs w:val="24"/>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aramond" w:cs="Garamond" w:eastAsia="Garamond" w:hAnsi="Garamond"/>
      <w:b w:val="0"/>
      <w:bCs w:val="0"/>
      <w:i w:val="0"/>
      <w:iCs w:val="0"/>
      <w:smallCaps w:val="0"/>
      <w:strike w:val="0"/>
      <w:color w:val="1f4d78"/>
      <w:sz w:val="24"/>
      <w:szCs w:val="24"/>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aramond" w:cs="Garamond" w:eastAsia="Garamond" w:hAnsi="Garamond"/>
      <w:b w:val="0"/>
      <w:bCs w:val="0"/>
      <w:i w:val="0"/>
      <w:iCs w:val="0"/>
      <w:smallCaps w:val="0"/>
      <w:strike w:val="0"/>
      <w:color w:val="111111"/>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N+JTrlq4b0vD8fC7pmEXb669w==">CgMxLjAaHQoBMBIYChYIB0ISCghHYXJhbW9uZBIGQ2F1ZGV4Gh0KATESGAoWCAdCEgoIR2FyYW1vbmQSBkNhdWRleBodCgEyEhgKFggHQhIKCEdhcmFtb25kEgZDYXVkZXg4AHIhMVVfVU1DYU9CcFRnQnBFa25BUjhuMUk2TklpUWhYelJf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