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4"/>
        <w:jc w:val="center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1F3864"/>
          <w:sz w:val="34"/>
          <w:szCs w:val="34"/>
        </w:rPr>
        <w:t>T</w:t>
      </w:r>
      <w:r>
        <w:rPr>
          <w:rFonts w:eastAsia="EB Garamond" w:cs="EB Garamond" w:ascii="EB Garamond" w:hAnsi="EB Garamond"/>
          <w:b/>
          <w:bCs/>
          <w:color w:val="1F3864"/>
          <w:sz w:val="34"/>
          <w:szCs w:val="34"/>
        </w:rPr>
        <w:t>huy</w:t>
      </w:r>
      <w:r>
        <w:rPr>
          <w:rFonts w:eastAsia="EB Garamond" w:cs="EB Garamond" w:ascii="EB Garamond" w:hAnsi="EB Garamond"/>
          <w:b/>
          <w:bCs/>
          <w:color w:val="1F3864"/>
          <w:sz w:val="34"/>
          <w:szCs w:val="34"/>
        </w:rPr>
        <w:t xml:space="preserve"> (</w:t>
      </w:r>
      <w:r>
        <w:rPr>
          <w:rFonts w:eastAsia="EB Garamond" w:cs="EB Garamond" w:ascii="EB Garamond" w:hAnsi="EB Garamond"/>
          <w:b/>
          <w:bCs/>
          <w:color w:val="1F3864"/>
          <w:sz w:val="34"/>
          <w:szCs w:val="34"/>
        </w:rPr>
        <w:t>Tyler</w:t>
      </w:r>
      <w:r>
        <w:rPr>
          <w:rFonts w:eastAsia="EB Garamond" w:cs="EB Garamond" w:ascii="EB Garamond" w:hAnsi="EB Garamond"/>
          <w:b/>
          <w:bCs/>
          <w:color w:val="1F3864"/>
          <w:sz w:val="34"/>
          <w:szCs w:val="34"/>
        </w:rPr>
        <w:t xml:space="preserve">) </w:t>
      </w:r>
      <w:r>
        <w:rPr>
          <w:rFonts w:eastAsia="EB Garamond" w:cs="EB Garamond" w:ascii="EB Garamond" w:hAnsi="EB Garamond"/>
          <w:b/>
          <w:bCs/>
          <w:color w:val="1F3864"/>
          <w:sz w:val="34"/>
          <w:szCs w:val="34"/>
        </w:rPr>
        <w:t>Hoang</w:t>
      </w:r>
    </w:p>
    <w:p>
      <w:pPr>
        <w:pStyle w:val="normal1"/>
        <w:spacing w:lineRule="auto" w:line="240" w:before="0" w:after="100"/>
        <w:jc w:val="center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color w:val="555555"/>
          <w:sz w:val="17"/>
          <w:szCs w:val="17"/>
        </w:rPr>
        <w:t>www.tylerhoang.xyz  ·  linkedin.com/in/thuyghoang  ·  Fountain Valley, CA  ·  (949) 740-6969  ·  tyler@tylerhoang.xyz</w:t>
      </w:r>
    </w:p>
    <w:p>
      <w:pPr>
        <w:pStyle w:val="normal1"/>
        <w:pBdr>
          <w:bottom w:val="single" w:sz="4" w:space="1" w:color="1F3864"/>
        </w:pBdr>
        <w:spacing w:lineRule="auto" w:line="240" w:before="10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smallCaps/>
          <w:color w:val="1F3864"/>
          <w:sz w:val="19"/>
          <w:szCs w:val="19"/>
        </w:rPr>
        <w:t>SUMMARY</w:t>
      </w:r>
    </w:p>
    <w:p>
      <w:pPr>
        <w:pStyle w:val="normal1"/>
        <w:spacing w:lineRule="auto" w:line="240" w:before="3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color w:val="000000"/>
          <w:sz w:val="17"/>
          <w:szCs w:val="17"/>
        </w:rPr>
        <w:t>Equity research candidate with deep fluency in financial statement analysis, DCF and EV/EBITDA valuation, and credit risk assessment. Built a full-stack equity research dashboard from scratch. CFA Level I candidate and MS Financial Analytics student at CSULB with Python-driven modeling experience spanning LSTM forecasting, Monte Carlo simulation, and OLS factor models.</w:t>
      </w:r>
    </w:p>
    <w:p>
      <w:pPr>
        <w:pStyle w:val="normal1"/>
        <w:pBdr>
          <w:bottom w:val="single" w:sz="4" w:space="1" w:color="1F3864"/>
        </w:pBdr>
        <w:spacing w:lineRule="auto" w:line="240" w:before="10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smallCaps/>
          <w:color w:val="1F3864"/>
          <w:sz w:val="19"/>
          <w:szCs w:val="19"/>
        </w:rPr>
        <w:t>EDUCATION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5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M.S. Financial Analytics (Expected Aug 2026)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>GPA: 3.75</w:t>
      </w:r>
    </w:p>
    <w:p>
      <w:pPr>
        <w:pStyle w:val="normal1"/>
        <w:spacing w:lineRule="auto" w:line="240" w:before="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/>
          <w:iCs/>
          <w:color w:val="555555"/>
          <w:sz w:val="17"/>
          <w:szCs w:val="17"/>
        </w:rPr>
        <w:t>California State University, Long Beach</w:t>
      </w:r>
    </w:p>
    <w:p>
      <w:pPr>
        <w:pStyle w:val="normal1"/>
        <w:spacing w:lineRule="auto" w:line="240" w:before="0" w:after="5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color w:val="555555"/>
          <w:sz w:val="16"/>
          <w:szCs w:val="16"/>
        </w:rPr>
        <w:t>Relevant Coursework: Investments &amp; Portfolio Management, Derivatives &amp; Alternative Investments, Fixed Income Securities, Quantitative Analysis, Financial Reporting &amp; Analysis, Equity Valuation, Economics &amp; International Finance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5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B.A. Business Administration / Finance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>GPA: 3.75</w:t>
      </w:r>
    </w:p>
    <w:p>
      <w:pPr>
        <w:pStyle w:val="normal1"/>
        <w:spacing w:lineRule="auto" w:line="240" w:before="0" w:after="5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/>
          <w:iCs/>
          <w:color w:val="555555"/>
          <w:sz w:val="17"/>
          <w:szCs w:val="17"/>
        </w:rPr>
        <w:t>California State University, Fullerton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5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A.A. Business Administration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>GPA: 4.0</w:t>
      </w:r>
    </w:p>
    <w:p>
      <w:pPr>
        <w:pStyle w:val="normal1"/>
        <w:spacing w:lineRule="auto" w:line="240" w:before="0" w:after="5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/>
          <w:iCs/>
          <w:color w:val="555555"/>
          <w:sz w:val="17"/>
          <w:szCs w:val="17"/>
        </w:rPr>
        <w:t>Orange Coast College</w:t>
      </w:r>
    </w:p>
    <w:p>
      <w:pPr>
        <w:pStyle w:val="normal1"/>
        <w:pBdr>
          <w:bottom w:val="single" w:sz="4" w:space="1" w:color="1F3864"/>
        </w:pBdr>
        <w:spacing w:lineRule="auto" w:line="240" w:before="10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smallCaps/>
          <w:color w:val="1F3864"/>
          <w:sz w:val="19"/>
          <w:szCs w:val="19"/>
        </w:rPr>
        <w:t>CERTIFICATIONS &amp; CREDENTIALS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3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CFA® Level I Candidate</w:t>
      </w:r>
      <w:r>
        <w:rPr>
          <w:rFonts w:eastAsia="EB Garamond" w:cs="EB Garamond" w:ascii="EB Garamond" w:hAnsi="EB Garamond"/>
          <w:color w:val="555555"/>
          <w:sz w:val="17"/>
          <w:szCs w:val="17"/>
        </w:rPr>
        <w:t xml:space="preserve"> — CFA Institute</w:t>
      </w:r>
      <w:r>
        <w:rPr>
          <w:rFonts w:eastAsia="EB Garamond" w:cs="EB Garamond" w:ascii="EB Garamond" w:hAnsi="EB Garamond"/>
          <w:sz w:val="17"/>
          <w:szCs w:val="17"/>
        </w:rPr>
        <w:t xml:space="preserve">  </w:t>
      </w:r>
      <w:r>
        <w:rPr>
          <w:rFonts w:eastAsia="EB Garamond" w:cs="EB Garamond" w:ascii="EB Garamond" w:hAnsi="EB Garamond"/>
          <w:i/>
          <w:iCs/>
          <w:color w:val="555555"/>
          <w:sz w:val="17"/>
          <w:szCs w:val="17"/>
        </w:rPr>
        <w:t>Exam: Aug 2026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3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Securities Industry Essentials (SIE)</w:t>
      </w:r>
      <w:r>
        <w:rPr>
          <w:rFonts w:eastAsia="EB Garamond" w:cs="EB Garamond" w:ascii="EB Garamond" w:hAnsi="EB Garamond"/>
          <w:color w:val="555555"/>
          <w:sz w:val="17"/>
          <w:szCs w:val="17"/>
        </w:rPr>
        <w:t xml:space="preserve"> — FINRA</w:t>
      </w:r>
      <w:r>
        <w:rPr>
          <w:rFonts w:eastAsia="EB Garamond" w:cs="EB Garamond" w:ascii="EB Garamond" w:hAnsi="EB Garamond"/>
          <w:sz w:val="17"/>
          <w:szCs w:val="17"/>
        </w:rPr>
        <w:t xml:space="preserve">  </w:t>
      </w:r>
      <w:r>
        <w:rPr>
          <w:rFonts w:eastAsia="EB Garamond" w:cs="EB Garamond" w:ascii="EB Garamond" w:hAnsi="EB Garamond"/>
          <w:i/>
          <w:iCs/>
          <w:color w:val="555555"/>
          <w:sz w:val="17"/>
          <w:szCs w:val="17"/>
        </w:rPr>
        <w:t>Passed</w:t>
      </w:r>
    </w:p>
    <w:p>
      <w:pPr>
        <w:pStyle w:val="normal1"/>
        <w:pBdr>
          <w:bottom w:val="single" w:sz="4" w:space="1" w:color="1F3864"/>
        </w:pBdr>
        <w:spacing w:lineRule="auto" w:line="240" w:before="10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smallCaps/>
          <w:color w:val="1F3864"/>
          <w:sz w:val="19"/>
          <w:szCs w:val="19"/>
        </w:rPr>
        <w:t>WORK EXPERIENCE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7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Associate Banker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 xml:space="preserve"> | </w:t>
      </w:r>
      <w:r>
        <w:rPr>
          <w:rFonts w:eastAsia="EB Garamond" w:cs="EB Garamond" w:ascii="EB Garamond" w:hAnsi="EB Garamond"/>
          <w:i/>
          <w:iCs/>
          <w:color w:val="555555"/>
          <w:sz w:val="18"/>
          <w:szCs w:val="18"/>
        </w:rPr>
        <w:t>JPMorgan Chase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>Oct 2024 – Present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Drove higher client satisfaction scores and referral rates by consulting 20+ clients weekly on tailored banking solutions across deposit, lending, and investment products.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 xml:space="preserve">Cut client wait times by </w:t>
      </w:r>
      <w:r>
        <w:rPr>
          <w:rFonts w:eastAsia="EB Garamond" w:cs="EB Garamond" w:ascii="EB Garamond" w:hAnsi="EB Garamond"/>
          <w:sz w:val="17"/>
          <w:szCs w:val="17"/>
        </w:rPr>
        <w:t>25-50</w:t>
      </w: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% across 2,000+ monthly transactions by redesigning teller workflows and proactively triaging service queues.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Improved long-term retention in a competitive retail market by anticipating client financial needs and positioning products before attrition signals emerged.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Maintained zero compliance exceptions across branch operations by systematically verifying cash shipments, auditing internal controls, and ensuring ATM uptime.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7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Financial Representative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 xml:space="preserve"> | </w:t>
      </w:r>
      <w:r>
        <w:rPr>
          <w:rFonts w:eastAsia="EB Garamond" w:cs="EB Garamond" w:ascii="EB Garamond" w:hAnsi="EB Garamond"/>
          <w:i/>
          <w:iCs/>
          <w:color w:val="555555"/>
          <w:sz w:val="18"/>
          <w:szCs w:val="18"/>
        </w:rPr>
        <w:t>Modern Woodmen of America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color w:val="555555"/>
          <w:sz w:val="18"/>
          <w:szCs w:val="18"/>
        </w:rPr>
        <w:t>Jun 2024 – Oct 2024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Grew assets under management across 3 client portfolios by delivering customized retirement and wealth plans aligned to each client’s risk profile and life-stage goals.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Shortened sales cycles by refining consultative outreach across full engagement cycles—from cold prospecting through needs assessment and close.</w:t>
      </w:r>
    </w:p>
    <w:p>
      <w:pPr>
        <w:pStyle w:val="normal1"/>
        <w:pBdr>
          <w:bottom w:val="single" w:sz="4" w:space="1" w:color="1F3864"/>
        </w:pBdr>
        <w:spacing w:lineRule="auto" w:line="240" w:before="10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smallCaps/>
          <w:color w:val="1F3864"/>
          <w:sz w:val="19"/>
          <w:szCs w:val="19"/>
        </w:rPr>
        <w:t>SELECTED PROJECTS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7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Prism — Financial Analysis Dashboard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i/>
          <w:iCs/>
          <w:color w:val="555555"/>
          <w:sz w:val="18"/>
          <w:szCs w:val="18"/>
        </w:rPr>
        <w:t>Spring 2026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Reduced research setup time for equity analysis by building a Streamlit dashboard that unifies market data, financial statements, SEC filings, insider activity, and sentiment-tagged news into a single workflow.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Improved valuation accuracy by engineering DCF and EV/EBITDA modules from raw financial statement data rather than vendor-precomputed metrics, eliminating look-through errors in TTM calculations.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Enhanced cross-tab reconciliation reliability by standardizing enterprise value, net debt, and equity-value bridge logic across all dashboard views.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7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Boeing Credit &amp; Financial Statement Analysis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i/>
          <w:iCs/>
          <w:color w:val="555555"/>
          <w:sz w:val="18"/>
          <w:szCs w:val="18"/>
        </w:rPr>
        <w:t>Fall 2025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Quantified Boeing’s credit risk premium over Treasuries by analyzing debt maturity schedules, leverage ratios, and interest coverage trends using Bloomberg terminal data.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7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Stock Price Prediction with LSTM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i/>
          <w:iCs/>
          <w:color w:val="555555"/>
          <w:sz w:val="18"/>
          <w:szCs w:val="18"/>
        </w:rPr>
        <w:t>Spring 2026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Achieved competitive out-of-sample RMSE by training an LSTM neural network on Walmart (WMT) historical price data, benchmarking deep learning against traditional time-series baselines.</w:t>
      </w:r>
    </w:p>
    <w:p>
      <w:pPr>
        <w:pStyle w:val="normal1"/>
        <w:tabs>
          <w:tab w:val="clear" w:pos="720"/>
          <w:tab w:val="right" w:pos="9026" w:leader="none"/>
        </w:tabs>
        <w:spacing w:lineRule="auto" w:line="240" w:before="70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8"/>
          <w:szCs w:val="18"/>
        </w:rPr>
        <w:t>Quantitative Company Analysis</w:t>
      </w:r>
      <w:r>
        <w:rPr>
          <w:rFonts w:eastAsia="EB Garamond" w:cs="EB Garamond" w:ascii="EB Garamond" w:hAnsi="EB Garamond"/>
          <w:sz w:val="18"/>
          <w:szCs w:val="18"/>
        </w:rPr>
        <w:t xml:space="preserve">  </w:t>
      </w:r>
      <w:r>
        <w:rPr>
          <w:rFonts w:eastAsia="EB Garamond" w:cs="EB Garamond" w:ascii="EB Garamond" w:hAnsi="EB Garamond"/>
          <w:i/>
          <w:iCs/>
          <w:color w:val="555555"/>
          <w:sz w:val="18"/>
          <w:szCs w:val="18"/>
        </w:rPr>
        <w:t>Fall 2025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6"/>
        <w:ind w:hanging="200" w:start="400" w:end="0"/>
        <w:jc w:val="start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7"/>
          <w:szCs w:val="17"/>
          <w:u w:val="none"/>
          <w:shd w:fill="auto" w:val="clear"/>
          <w:vertAlign w:val="baseline"/>
        </w:rPr>
        <w:t>Stress-tested company valuation across three scenarios—base, optimistic, and downside—by building integrated spreadsheet models for ratio benchmarking, cash flow forecasting, and DCF analysis.</w:t>
      </w:r>
    </w:p>
    <w:p>
      <w:pPr>
        <w:pStyle w:val="normal1"/>
        <w:pBdr>
          <w:bottom w:val="single" w:sz="4" w:space="1" w:color="1F3864"/>
        </w:pBdr>
        <w:spacing w:lineRule="auto" w:line="240" w:before="100" w:after="0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smallCaps/>
          <w:color w:val="1F3864"/>
          <w:sz w:val="19"/>
          <w:szCs w:val="19"/>
        </w:rPr>
        <w:t>SKILLS</w:t>
      </w:r>
    </w:p>
    <w:p>
      <w:pPr>
        <w:pStyle w:val="normal1"/>
        <w:spacing w:lineRule="auto" w:line="240" w:before="16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7"/>
          <w:szCs w:val="17"/>
        </w:rPr>
        <w:t xml:space="preserve">Technical: </w:t>
      </w:r>
      <w:r>
        <w:rPr>
          <w:rFonts w:eastAsia="EB Garamond" w:cs="EB Garamond" w:ascii="EB Garamond" w:hAnsi="EB Garamond"/>
          <w:color w:val="000000"/>
          <w:sz w:val="17"/>
          <w:szCs w:val="17"/>
        </w:rPr>
        <w:t>Python (pandas, NumPy, scikit-learn, TensorFlow/Keras, statsmodels), Advanced Excel (DCF models, scenario analysis), Bloomberg Terminal, PowerPoint, Linux, Git, LLM/AI tools</w:t>
      </w:r>
    </w:p>
    <w:p>
      <w:pPr>
        <w:pStyle w:val="normal1"/>
        <w:spacing w:lineRule="auto" w:line="240" w:before="16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7"/>
          <w:szCs w:val="17"/>
        </w:rPr>
        <w:t xml:space="preserve">Finance: </w:t>
      </w:r>
      <w:r>
        <w:rPr>
          <w:rFonts w:eastAsia="EB Garamond" w:cs="EB Garamond" w:ascii="EB Garamond" w:hAnsi="EB Garamond"/>
          <w:color w:val="000000"/>
          <w:sz w:val="17"/>
          <w:szCs w:val="17"/>
        </w:rPr>
        <w:t>Capital markets, fixed income &amp; derivatives, financial statement analysis, valuation (DCF, comps, M&amp;A multiples), credit analysis, portfolio management, client relationship management</w:t>
      </w:r>
    </w:p>
    <w:p>
      <w:pPr>
        <w:pStyle w:val="normal1"/>
        <w:spacing w:lineRule="auto" w:line="240" w:before="16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7"/>
          <w:szCs w:val="17"/>
        </w:rPr>
        <w:t xml:space="preserve">Quantitative: </w:t>
      </w:r>
      <w:r>
        <w:rPr>
          <w:rFonts w:eastAsia="EB Garamond" w:cs="EB Garamond" w:ascii="EB Garamond" w:hAnsi="EB Garamond"/>
          <w:color w:val="000000"/>
          <w:sz w:val="17"/>
          <w:szCs w:val="17"/>
        </w:rPr>
        <w:t>OLS/multi-factor regression, Monte Carlo simulation, LSTM/time series forecasting, CAPM/beta estimation, stochastic calculus</w:t>
      </w:r>
    </w:p>
    <w:p>
      <w:pPr>
        <w:pStyle w:val="normal1"/>
        <w:spacing w:lineRule="auto" w:line="240" w:before="16" w:after="16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  <w:b/>
          <w:bCs/>
          <w:color w:val="000000"/>
          <w:sz w:val="17"/>
          <w:szCs w:val="17"/>
        </w:rPr>
        <w:t xml:space="preserve">Languages: </w:t>
      </w:r>
      <w:r>
        <w:rPr>
          <w:rFonts w:eastAsia="EB Garamond" w:cs="EB Garamond" w:ascii="EB Garamond" w:hAnsi="EB Garamond"/>
          <w:color w:val="000000"/>
          <w:sz w:val="17"/>
          <w:szCs w:val="17"/>
        </w:rPr>
        <w:t>English (Native), Vietnamese (Fluent)</w:t>
      </w:r>
    </w:p>
    <w:sectPr>
      <w:type w:val="nextPage"/>
      <w:pgSz w:w="12240" w:h="15840"/>
      <w:pgMar w:left="900" w:right="900" w:gutter="0" w:header="0" w:top="648" w:footer="0" w:bottom="64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EB Garamond">
    <w:charset w:val="01" w:characterSet="utf-8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400" w:hanging="20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18"/>
        <w:szCs w:val="18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18"/>
      <w:szCs w:val="18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2E74B5"/>
      <w:position w:val="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2E74B5"/>
      <w:position w:val="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1F4D78"/>
      <w:position w:val="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color w:val="2E74B5"/>
      <w:position w:val="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2E74B5"/>
      <w:position w:val="0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1F4D78"/>
      <w:position w:val="0"/>
      <w:sz w:val="18"/>
      <w:szCs w:val="18"/>
      <w:u w:val="none"/>
      <w:shd w:fill="auto" w:val="clear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18"/>
      <w:szCs w:val="18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start="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position w:val="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LibreOffice_project/a31940f583db492bb69b3a601caf6d1b0ecf61f1</Application>
  <AppVersion>15.0000</AppVersion>
  <Pages>1</Pages>
  <Words>529</Words>
  <Characters>3588</Characters>
  <CharactersWithSpaces>4086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2026-05-12T13:05:21Z</dcterms:modified>
  <cp:revision>1</cp:revision>
  <dc:subject/>
  <dc:title/>
</cp:coreProperties>
</file>