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jc w:val="center"/>
        <w:rPr>
          <w:rFonts w:ascii="EB Garamond" w:cs="EB Garamond" w:eastAsia="EB Garamond" w:hAnsi="EB Garamond"/>
          <w:color w:val="2e4057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36"/>
          <w:szCs w:val="36"/>
          <w:rtl w:val="0"/>
        </w:rPr>
        <w:t xml:space="preserve">Thuy (Tyler) Hoang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rFonts w:ascii="EB Garamond" w:cs="EB Garamond" w:eastAsia="EB Garamond" w:hAnsi="EB Garamond"/>
          <w:color w:val="555555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color w:val="555555"/>
          <w:sz w:val="18"/>
          <w:szCs w:val="18"/>
          <w:rtl w:val="0"/>
        </w:rPr>
        <w:t xml:space="preserve">https://www.tylerhoang.xyz  •  linkedin.com/in/thuyghoang  •  Fountain Valley, CA  •  (949) 740-6969  •  tyler@tylerhoang.xyz</w:t>
      </w:r>
    </w:p>
    <w:p w:rsidR="00000000" w:rsidDel="00000000" w:rsidP="00000000" w:rsidRDefault="00000000" w:rsidRPr="00000000" w14:paraId="00000003">
      <w:pPr>
        <w:pBdr>
          <w:bottom w:color="2e4057" w:space="3" w:sz="6" w:val="single"/>
        </w:pBdr>
        <w:spacing w:after="28" w:before="5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1a1a1a"/>
          <w:sz w:val="18"/>
          <w:szCs w:val="18"/>
          <w:rtl w:val="0"/>
        </w:rPr>
        <w:t xml:space="preserve">Fixed Income &amp; Portfolio Management candidate with deep expertise in credit analysis, DCF modeling, and Python-driven data pipelines. CFA Level I candidate (Aug 2026) and MS Financial Analytics student (CSULB) with a proven track record of engineering custom valuation tools and executing independent credit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2e4057" w:space="3" w:sz="6" w:val="single"/>
        </w:pBdr>
        <w:spacing w:after="28" w:before="5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M.S. Financial Analytics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Expected Aug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GPA: 3.75  •  California State University, Long Beach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color w:val="555555"/>
          <w:sz w:val="19"/>
          <w:szCs w:val="19"/>
          <w:rtl w:val="0"/>
        </w:rPr>
        <w:t xml:space="preserve">Relevant Coursework: Derivatives, Fixed Income Securities, Equity Valuation, Quantitative Analysis, Financial Reporting &amp;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B.A. Business Administration /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GPA: 3.75  •  California State University, Fullerton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A.A. Business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GPA: 4.0  •  Orange Coast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2e4057" w:space="3" w:sz="6" w:val="single"/>
        </w:pBdr>
        <w:spacing w:after="28" w:before="5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22"/>
          <w:szCs w:val="22"/>
          <w:rtl w:val="0"/>
        </w:rPr>
        <w:t xml:space="preserve">SELECTED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Prism — Equity &amp; Credit Research Dashboard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Spring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Engineered a FastAPI + Next.js dashboard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automating equity and credit research pipelines, cutting manual data prep 40% and eliminating look-through errors across all valuation outputs.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Built custom enterprise value and net debt bridge algorithms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from scratch, parsing raw 10-K/10-Q filings into SEC taxonomy for precise DCF and EV/EBITDA across 50+ peer companies.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Boeing Independent Credit Analysis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Fall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Executed independent credit analysis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on Boeing, modeling interest coverage (–3.48x) and a $17.8B debt maturity waterfall to identify severe near-term refinancing risk across 2025–2029.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Quantified credit risk premium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at a 178 bps spread over Treasuries — a 64 bps widening vs. the BBB- peer average — driven by deteriorating liquidity and negative operating cash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PM New Product Valuation (FIN 600)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Fall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Developed a 14-year FCFE DCF model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for a consumer product extension, forecasting revenue, margins, and WACC (6.90%) to a $2.59B NPV and 45% IRR under base-case assumptions.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Stress-tested valuation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across EBIT-margin and cost-of-sales scenarios, validating project viability and recommending debt-equity financing within leverage constraints.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2e4057" w:space="3" w:sz="6" w:val="single"/>
        </w:pBdr>
        <w:spacing w:after="28" w:before="5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22"/>
          <w:szCs w:val="22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JPMorgan Chase  •  Associate Banker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Oct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Forecast cash demand and rebalanced vault reserves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across 2,000+ monthly branch transactions, maintaining zero discrepancies in daily liquidity and ATM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Applied BSA/AML/KYC controls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through identity verification and suspicious-wire flagging, sustaining a 100% audit-ready operational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8" w:right="0" w:hanging="180"/>
        <w:jc w:val="left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Grew referral-driven deposits 15% month-over-month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 by analyzing deposit behavior to surface money market and CD opportunities.</w:t>
      </w:r>
    </w:p>
    <w:p w:rsidR="00000000" w:rsidDel="00000000" w:rsidP="00000000" w:rsidRDefault="00000000" w:rsidRPr="00000000" w14:paraId="0000001C">
      <w:pPr>
        <w:spacing w:after="20" w:lineRule="auto"/>
        <w:rPr>
          <w:rFonts w:ascii="EB Garamond" w:cs="EB Garamond" w:eastAsia="EB Garamond" w:hAnsi="EB Garamond"/>
          <w:i w:val="1"/>
          <w:iCs w:val="1"/>
          <w:sz w:val="19"/>
          <w:szCs w:val="19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Financial Representative | Modern Woodmen of America</w:t>
      </w:r>
      <w:r w:rsidDel="00000000" w:rsidR="00000000" w:rsidRPr="00000000">
        <w:rPr>
          <w:rFonts w:ascii="EB Garamond" w:cs="EB Garamond" w:eastAsia="EB Garamond" w:hAnsi="EB Garamond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19"/>
          <w:szCs w:val="19"/>
          <w:rtl w:val="0"/>
        </w:rPr>
        <w:t xml:space="preserve">Jun 2024 – Oct 2024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" w:lineRule="auto"/>
        <w:ind w:left="288" w:hanging="180"/>
        <w:rPr/>
      </w:pPr>
      <w:r w:rsidDel="00000000" w:rsidR="00000000" w:rsidRPr="00000000">
        <w:rPr>
          <w:rFonts w:ascii="EB Garamond" w:cs="EB Garamond" w:eastAsia="EB Garamond" w:hAnsi="EB Garamond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Grew assets under management across 3 client portfolios</w:t>
      </w:r>
      <w:r w:rsidDel="00000000" w:rsidR="00000000" w:rsidRPr="00000000">
        <w:rPr>
          <w:rFonts w:ascii="EB Garamond" w:cs="EB Garamond" w:eastAsia="EB Garamond" w:hAnsi="EB Garamond"/>
          <w:sz w:val="18"/>
          <w:szCs w:val="18"/>
          <w:rtl w:val="0"/>
        </w:rPr>
        <w:t xml:space="preserve"> by delivering customized retirement and wealth plans aligned to each client’s risk profile and lifestage goals.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" w:lineRule="auto"/>
        <w:ind w:left="288" w:hanging="180"/>
        <w:rPr/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Shortened sales cycles</w:t>
      </w:r>
      <w:r w:rsidDel="00000000" w:rsidR="00000000" w:rsidRPr="00000000">
        <w:rPr>
          <w:rFonts w:ascii="EB Garamond" w:cs="EB Garamond" w:eastAsia="EB Garamond" w:hAnsi="EB Garamond"/>
          <w:sz w:val="18"/>
          <w:szCs w:val="18"/>
          <w:rtl w:val="0"/>
        </w:rPr>
        <w:t xml:space="preserve"> by refining consultative outreach across full engagement cycles—from cold prospecting through needs assessment and close.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2e4057" w:space="3" w:sz="6" w:val="single"/>
        </w:pBdr>
        <w:spacing w:after="28" w:before="5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22"/>
          <w:szCs w:val="22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CFA Level I Candidate —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color w:val="555555"/>
          <w:sz w:val="19"/>
          <w:szCs w:val="19"/>
          <w:rtl w:val="0"/>
        </w:rPr>
        <w:t xml:space="preserve">CFA Institute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 Exam: Aug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rtl w:val="0"/>
        </w:rPr>
        <w:t xml:space="preserve">Securities Industry Essentials (SIE) —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color w:val="555555"/>
          <w:sz w:val="19"/>
          <w:szCs w:val="19"/>
          <w:rtl w:val="0"/>
        </w:rPr>
        <w:t xml:space="preserve">FINRA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 Passed</w:t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spacing w:after="4" w:before="40" w:lineRule="auto"/>
        <w:rPr>
          <w:rFonts w:ascii="EB Garamond" w:cs="EB Garamond" w:eastAsia="EB Garamond" w:hAnsi="EB Garamond"/>
          <w:color w:val="555555"/>
          <w:sz w:val="19"/>
          <w:szCs w:val="19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Google AI Essentials —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color w:val="555555"/>
          <w:sz w:val="19"/>
          <w:szCs w:val="19"/>
          <w:rtl w:val="0"/>
        </w:rPr>
        <w:t xml:space="preserve">Google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color w:val="555555"/>
          <w:sz w:val="19"/>
          <w:szCs w:val="19"/>
          <w:rtl w:val="0"/>
        </w:rPr>
        <w:t xml:space="preserve">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2e4057" w:space="3" w:sz="6" w:val="single"/>
        </w:pBdr>
        <w:spacing w:after="28" w:before="5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2e4057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sz w:val="18"/>
          <w:szCs w:val="18"/>
          <w:rtl w:val="0"/>
        </w:rPr>
        <w:t xml:space="preserve">Programming: </w:t>
      </w:r>
      <w:r w:rsidDel="00000000" w:rsidR="00000000" w:rsidRPr="00000000">
        <w:rPr>
          <w:rFonts w:ascii="EB Garamond" w:cs="EB Garamond" w:eastAsia="EB Garamond" w:hAnsi="EB Garamond"/>
          <w:color w:val="1a1a1a"/>
          <w:sz w:val="18"/>
          <w:szCs w:val="18"/>
          <w:rtl w:val="0"/>
        </w:rPr>
        <w:t xml:space="preserve">Python (pandas, NumPy, scikit-learn, TensorFlow, statsmodels), JavaScript, SQL, Git,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sz w:val="18"/>
          <w:szCs w:val="18"/>
          <w:rtl w:val="0"/>
        </w:rPr>
        <w:t xml:space="preserve">Financial Modeling: </w:t>
      </w:r>
      <w:r w:rsidDel="00000000" w:rsidR="00000000" w:rsidRPr="00000000">
        <w:rPr>
          <w:rFonts w:ascii="EB Garamond" w:cs="EB Garamond" w:eastAsia="EB Garamond" w:hAnsi="EB Garamond"/>
          <w:color w:val="1a1a1a"/>
          <w:sz w:val="18"/>
          <w:szCs w:val="18"/>
          <w:rtl w:val="0"/>
        </w:rPr>
        <w:t xml:space="preserve">DCF/FCFE, EV/EBITDA, CAPM, WACC, Monte Carlo Simulation, Options &amp; Derivatives, Credit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sz w:val="18"/>
          <w:szCs w:val="18"/>
          <w:rtl w:val="0"/>
        </w:rPr>
        <w:t xml:space="preserve">Tools: </w:t>
      </w:r>
      <w:r w:rsidDel="00000000" w:rsidR="00000000" w:rsidRPr="00000000">
        <w:rPr>
          <w:rFonts w:ascii="EB Garamond" w:cs="EB Garamond" w:eastAsia="EB Garamond" w:hAnsi="EB Garamond"/>
          <w:color w:val="1a1a1a"/>
          <w:sz w:val="18"/>
          <w:szCs w:val="18"/>
          <w:rtl w:val="0"/>
        </w:rPr>
        <w:t xml:space="preserve">Bloomberg Terminal, FastAPI, Next.js, Tableau, PowerPoint, Advanced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1a1a1a"/>
          <w:sz w:val="18"/>
          <w:szCs w:val="18"/>
          <w:rtl w:val="0"/>
        </w:rPr>
        <w:t xml:space="preserve">Languages: </w:t>
      </w:r>
      <w:r w:rsidDel="00000000" w:rsidR="00000000" w:rsidRPr="00000000">
        <w:rPr>
          <w:rFonts w:ascii="EB Garamond" w:cs="EB Garamond" w:eastAsia="EB Garamond" w:hAnsi="EB Garamond"/>
          <w:color w:val="1a1a1a"/>
          <w:sz w:val="18"/>
          <w:szCs w:val="18"/>
          <w:rtl w:val="0"/>
        </w:rPr>
        <w:t xml:space="preserve">English (Native), Vietnamese (Fluent)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540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288" w:hanging="180"/>
      </w:pPr>
      <w:rPr>
        <w:rFonts w:ascii="Georgia" w:cs="Georgia" w:eastAsia="Georgia" w:hAnsi="Georgia"/>
        <w:color w:val="2e4057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